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0A7" w:rsidRDefault="008F0C09">
      <w:pPr>
        <w:tabs>
          <w:tab w:val="left" w:pos="6184"/>
        </w:tabs>
        <w:ind w:left="2678"/>
        <w:rPr>
          <w:rFonts w:ascii="Times New Roman"/>
          <w:sz w:val="20"/>
        </w:rPr>
      </w:pPr>
      <w:r>
        <w:rPr>
          <w:rFonts w:ascii="Times New Roman"/>
          <w:noProof/>
          <w:sz w:val="20"/>
          <w:lang w:eastAsia="ru-RU"/>
        </w:rPr>
        <w:drawing>
          <wp:anchor distT="0" distB="0" distL="114300" distR="114300" simplePos="0" relativeHeight="251657728" behindDoc="1" locked="0" layoutInCell="1" allowOverlap="1">
            <wp:simplePos x="0" y="0"/>
            <wp:positionH relativeFrom="column">
              <wp:posOffset>2501900</wp:posOffset>
            </wp:positionH>
            <wp:positionV relativeFrom="paragraph">
              <wp:posOffset>-95250</wp:posOffset>
            </wp:positionV>
            <wp:extent cx="1457325" cy="1447800"/>
            <wp:effectExtent l="0" t="0" r="9525" b="0"/>
            <wp:wrapTight wrapText="bothSides">
              <wp:wrapPolygon edited="0">
                <wp:start x="7624" y="0"/>
                <wp:lineTo x="5647" y="568"/>
                <wp:lineTo x="1129" y="3979"/>
                <wp:lineTo x="0" y="7674"/>
                <wp:lineTo x="0" y="14211"/>
                <wp:lineTo x="1976" y="18189"/>
                <wp:lineTo x="2259" y="19326"/>
                <wp:lineTo x="7341" y="21316"/>
                <wp:lineTo x="9882" y="21316"/>
                <wp:lineTo x="14682" y="21316"/>
                <wp:lineTo x="14965" y="21316"/>
                <wp:lineTo x="18918" y="18474"/>
                <wp:lineTo x="19200" y="18189"/>
                <wp:lineTo x="21459" y="14211"/>
                <wp:lineTo x="21459" y="7105"/>
                <wp:lineTo x="20329" y="3979"/>
                <wp:lineTo x="15529" y="284"/>
                <wp:lineTo x="13835" y="0"/>
                <wp:lineTo x="7624"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1447800"/>
                    </a:xfrm>
                    <a:prstGeom prst="rect">
                      <a:avLst/>
                    </a:prstGeom>
                  </pic:spPr>
                </pic:pic>
              </a:graphicData>
            </a:graphic>
          </wp:anchor>
        </w:drawing>
      </w:r>
      <w:r>
        <w:rPr>
          <w:rFonts w:ascii="Times New Roman"/>
          <w:noProof/>
          <w:position w:val="4"/>
          <w:sz w:val="20"/>
          <w:lang w:eastAsia="ru-RU"/>
        </w:rPr>
        <w:drawing>
          <wp:anchor distT="0" distB="0" distL="114300" distR="114300" simplePos="0" relativeHeight="251656704" behindDoc="1" locked="0" layoutInCell="1" allowOverlap="1">
            <wp:simplePos x="0" y="0"/>
            <wp:positionH relativeFrom="column">
              <wp:posOffset>577850</wp:posOffset>
            </wp:positionH>
            <wp:positionV relativeFrom="paragraph">
              <wp:posOffset>-66675</wp:posOffset>
            </wp:positionV>
            <wp:extent cx="1409700" cy="1457325"/>
            <wp:effectExtent l="0" t="0" r="0" b="9525"/>
            <wp:wrapTight wrapText="bothSides">
              <wp:wrapPolygon edited="0">
                <wp:start x="0" y="0"/>
                <wp:lineTo x="0" y="21459"/>
                <wp:lineTo x="21308" y="21459"/>
                <wp:lineTo x="21308"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457325"/>
                    </a:xfrm>
                    <a:prstGeom prst="rect">
                      <a:avLst/>
                    </a:prstGeom>
                  </pic:spPr>
                </pic:pic>
              </a:graphicData>
            </a:graphic>
          </wp:anchor>
        </w:drawing>
      </w:r>
      <w:r w:rsidR="0027769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11pt;margin-top:-20.95pt;width:259.5pt;height:152.1pt;z-index:-251657728;mso-wrap-edited:f;mso-width-percent:0;mso-height-percent:0;mso-position-horizontal-relative:text;mso-position-vertical-relative:text;mso-width-percent:0;mso-height-percent:0" wrapcoords="10666 3488 10102 3544 9359 4050 9389 7088 9626 7988 10161 8888 10755 9788 6893 10350 6952 11138 8973 11588 10785 11588 3268 12375 3268 13781 5942 14288 7784 14288 2347 14512 1812 14569 1812 15919 3565 16088 10785 16088 10785 16988 8973 17888 8973 18000 12716 18000 12776 17888 10755 16988 10785 16088 19847 15919 19847 14625 19609 14569 14648 14288 16222 14288 18391 13781 18332 13388 18451 12375 10785 11588 12449 11588 14826 11081 14856 10406 10815 9788 11558 8888 12092 7988 12182 7200 12241 6188 12271 4106 11558 3600 10904 3488 10666 3488">
            <v:imagedata r:id="rId9" o:title="Logo-blue-3"/>
            <w10:wrap type="tight"/>
          </v:shape>
        </w:pict>
      </w:r>
      <w:r w:rsidR="0036603D">
        <w:rPr>
          <w:rFonts w:ascii="Times New Roman"/>
          <w:position w:val="4"/>
          <w:sz w:val="20"/>
        </w:rPr>
        <w:tab/>
      </w:r>
    </w:p>
    <w:p w:rsidR="006440A7" w:rsidRDefault="006440A7">
      <w:pPr>
        <w:pStyle w:val="a4"/>
        <w:rPr>
          <w:rFonts w:ascii="Times New Roman"/>
        </w:rPr>
      </w:pPr>
    </w:p>
    <w:p w:rsidR="006440A7" w:rsidRDefault="006440A7">
      <w:pPr>
        <w:pStyle w:val="a4"/>
        <w:spacing w:before="124"/>
        <w:rPr>
          <w:rFonts w:ascii="Times New Roman"/>
        </w:rPr>
      </w:pPr>
    </w:p>
    <w:p w:rsidR="000A040D" w:rsidRDefault="000A040D">
      <w:pPr>
        <w:ind w:left="4208"/>
        <w:jc w:val="both"/>
        <w:rPr>
          <w:b/>
        </w:rPr>
      </w:pPr>
    </w:p>
    <w:p w:rsidR="000A040D" w:rsidRDefault="000A040D">
      <w:pPr>
        <w:ind w:left="4208"/>
        <w:jc w:val="both"/>
        <w:rPr>
          <w:b/>
        </w:rPr>
      </w:pPr>
    </w:p>
    <w:p w:rsidR="000A040D" w:rsidRDefault="000A040D">
      <w:pPr>
        <w:ind w:left="4208"/>
        <w:jc w:val="both"/>
        <w:rPr>
          <w:b/>
        </w:rPr>
      </w:pPr>
    </w:p>
    <w:p w:rsidR="000A040D" w:rsidRDefault="000A040D">
      <w:pPr>
        <w:ind w:left="4208"/>
        <w:jc w:val="both"/>
        <w:rPr>
          <w:b/>
        </w:rPr>
      </w:pPr>
    </w:p>
    <w:p w:rsidR="000A040D" w:rsidRDefault="000A040D" w:rsidP="000A040D">
      <w:pPr>
        <w:jc w:val="both"/>
        <w:rPr>
          <w:b/>
        </w:rPr>
      </w:pPr>
    </w:p>
    <w:p w:rsidR="000A040D" w:rsidRDefault="000A040D">
      <w:pPr>
        <w:ind w:left="4208"/>
        <w:jc w:val="both"/>
        <w:rPr>
          <w:b/>
        </w:rPr>
      </w:pPr>
    </w:p>
    <w:p w:rsidR="00D16552" w:rsidRDefault="00D16552">
      <w:pPr>
        <w:ind w:left="4208"/>
        <w:jc w:val="both"/>
        <w:rPr>
          <w:b/>
        </w:rPr>
      </w:pPr>
    </w:p>
    <w:p w:rsidR="008F0C09" w:rsidRDefault="008F0C09">
      <w:pPr>
        <w:ind w:left="4208"/>
        <w:jc w:val="both"/>
        <w:rPr>
          <w:b/>
        </w:rPr>
      </w:pPr>
    </w:p>
    <w:p w:rsidR="006440A7" w:rsidRDefault="0036603D">
      <w:pPr>
        <w:ind w:left="4208"/>
        <w:jc w:val="both"/>
        <w:rPr>
          <w:b/>
        </w:rPr>
      </w:pPr>
      <w:r>
        <w:rPr>
          <w:b/>
        </w:rPr>
        <w:t>Уважаемые</w:t>
      </w:r>
      <w:r>
        <w:rPr>
          <w:b/>
          <w:spacing w:val="-10"/>
        </w:rPr>
        <w:t xml:space="preserve"> </w:t>
      </w:r>
      <w:r>
        <w:rPr>
          <w:b/>
          <w:spacing w:val="-2"/>
        </w:rPr>
        <w:t>коллеги!</w:t>
      </w:r>
    </w:p>
    <w:p w:rsidR="006440A7" w:rsidRDefault="0036603D">
      <w:pPr>
        <w:spacing w:before="38" w:line="360" w:lineRule="auto"/>
        <w:ind w:left="220" w:right="160" w:firstLine="708"/>
        <w:jc w:val="both"/>
      </w:pPr>
      <w:r>
        <w:t xml:space="preserve">Институт истории и международных отношений Южного федерального университета приглашает вас принять участие в сетевой научной конференции </w:t>
      </w:r>
      <w:r>
        <w:rPr>
          <w:b/>
        </w:rPr>
        <w:t>«Международные отношения в ситуациях глобальной неопределенности: безопасность в точках бифуркации»</w:t>
      </w:r>
      <w:r>
        <w:t xml:space="preserve">, организуемой совместно с Нижегородским государственным университетом им. </w:t>
      </w:r>
      <w:r w:rsidR="00CF6A3B">
        <w:t xml:space="preserve">Н.И. </w:t>
      </w:r>
      <w:r>
        <w:t xml:space="preserve">Лобачевского. Конференция состоится </w:t>
      </w:r>
      <w:r>
        <w:rPr>
          <w:b/>
          <w:i/>
        </w:rPr>
        <w:t>02-03</w:t>
      </w:r>
      <w:r>
        <w:rPr>
          <w:b/>
          <w:i/>
          <w:spacing w:val="-2"/>
        </w:rPr>
        <w:t xml:space="preserve"> </w:t>
      </w:r>
      <w:r>
        <w:rPr>
          <w:b/>
          <w:i/>
        </w:rPr>
        <w:t>октября</w:t>
      </w:r>
      <w:r>
        <w:rPr>
          <w:b/>
          <w:i/>
          <w:spacing w:val="-4"/>
        </w:rPr>
        <w:t xml:space="preserve"> </w:t>
      </w:r>
      <w:r>
        <w:rPr>
          <w:b/>
          <w:i/>
        </w:rPr>
        <w:t>2025 г.</w:t>
      </w:r>
      <w:r>
        <w:rPr>
          <w:b/>
          <w:i/>
          <w:spacing w:val="-4"/>
        </w:rPr>
        <w:t xml:space="preserve"> </w:t>
      </w:r>
      <w:r>
        <w:rPr>
          <w:bCs/>
          <w:iCs/>
          <w:spacing w:val="-4"/>
        </w:rPr>
        <w:t>на двух площадках: ИИМО ЮФУ и ИМОМИ ННГУ</w:t>
      </w:r>
      <w:r>
        <w:rPr>
          <w:spacing w:val="-4"/>
        </w:rPr>
        <w:t>.</w:t>
      </w:r>
    </w:p>
    <w:p w:rsidR="006440A7" w:rsidRDefault="0036603D">
      <w:pPr>
        <w:pStyle w:val="a4"/>
        <w:spacing w:before="151" w:line="360" w:lineRule="auto"/>
        <w:ind w:left="220" w:right="216" w:firstLine="708"/>
        <w:jc w:val="both"/>
      </w:pPr>
      <w:bookmarkStart w:id="0" w:name="Это_ежегодная_международная_конференция,"/>
      <w:bookmarkEnd w:id="0"/>
      <w:r>
        <w:t>Это ежегодная конференция с международным участием, которая посвящена обсуждению глобальных трендов международных отношений в условиях формирования «новых норм». 2025 год - юбилейный с точки зрения трансформаций безопасности, переживаемых глобальным обществом. Хельсинские Соглашения, ратифицированные в 1975 году, стали важнейшим документом, определившим на десятилетия архитектуру общеевропейской и международной безопасности. В рамках конференции мы планируем обсудить универсализм и партикуляризм представлений безопасности, выявить динамику изменений</w:t>
      </w:r>
      <w:r>
        <w:rPr>
          <w:spacing w:val="40"/>
        </w:rPr>
        <w:t xml:space="preserve"> </w:t>
      </w:r>
      <w:r>
        <w:t>в понимании этого концепта, проанализировать западные и не-западные модели коллективной безопасности и обозначить контуры комплексной системы международной безопасности.</w:t>
      </w:r>
    </w:p>
    <w:p w:rsidR="006440A7" w:rsidRDefault="0036603D">
      <w:pPr>
        <w:spacing w:before="74"/>
        <w:ind w:left="928"/>
        <w:jc w:val="both"/>
        <w:rPr>
          <w:i/>
          <w:spacing w:val="-2"/>
        </w:rPr>
      </w:pPr>
      <w:r>
        <w:rPr>
          <w:i/>
        </w:rPr>
        <w:t>Работа</w:t>
      </w:r>
      <w:r>
        <w:rPr>
          <w:i/>
          <w:spacing w:val="-11"/>
        </w:rPr>
        <w:t xml:space="preserve"> </w:t>
      </w:r>
      <w:r>
        <w:rPr>
          <w:i/>
        </w:rPr>
        <w:t>конференции</w:t>
      </w:r>
      <w:r>
        <w:rPr>
          <w:i/>
          <w:spacing w:val="-8"/>
        </w:rPr>
        <w:t xml:space="preserve"> </w:t>
      </w:r>
      <w:r>
        <w:rPr>
          <w:i/>
        </w:rPr>
        <w:t>будет</w:t>
      </w:r>
      <w:r>
        <w:rPr>
          <w:i/>
          <w:spacing w:val="-8"/>
        </w:rPr>
        <w:t xml:space="preserve"> </w:t>
      </w:r>
      <w:r>
        <w:rPr>
          <w:i/>
        </w:rPr>
        <w:t>организована</w:t>
      </w:r>
      <w:r>
        <w:rPr>
          <w:i/>
          <w:spacing w:val="-8"/>
        </w:rPr>
        <w:t xml:space="preserve"> </w:t>
      </w:r>
      <w:r>
        <w:rPr>
          <w:i/>
        </w:rPr>
        <w:t>в</w:t>
      </w:r>
      <w:r>
        <w:rPr>
          <w:i/>
          <w:spacing w:val="-9"/>
        </w:rPr>
        <w:t xml:space="preserve"> </w:t>
      </w:r>
      <w:r>
        <w:rPr>
          <w:i/>
        </w:rPr>
        <w:t>рамках</w:t>
      </w:r>
      <w:r>
        <w:rPr>
          <w:i/>
          <w:spacing w:val="-8"/>
        </w:rPr>
        <w:t xml:space="preserve"> </w:t>
      </w:r>
      <w:r>
        <w:rPr>
          <w:i/>
        </w:rPr>
        <w:t>следующих</w:t>
      </w:r>
      <w:r>
        <w:rPr>
          <w:i/>
          <w:spacing w:val="-9"/>
        </w:rPr>
        <w:t xml:space="preserve"> </w:t>
      </w:r>
      <w:r>
        <w:rPr>
          <w:i/>
          <w:spacing w:val="-2"/>
        </w:rPr>
        <w:t>секций:</w:t>
      </w:r>
    </w:p>
    <w:p w:rsidR="008F0C09" w:rsidRPr="00893646" w:rsidRDefault="008F0C09">
      <w:pPr>
        <w:spacing w:before="74"/>
        <w:ind w:left="928"/>
        <w:jc w:val="both"/>
        <w:rPr>
          <w:i/>
        </w:rPr>
      </w:pPr>
    </w:p>
    <w:p w:rsidR="006440A7" w:rsidRPr="00893646" w:rsidRDefault="0036603D" w:rsidP="008F0C09">
      <w:pPr>
        <w:pStyle w:val="a5"/>
        <w:numPr>
          <w:ilvl w:val="0"/>
          <w:numId w:val="5"/>
        </w:numPr>
        <w:tabs>
          <w:tab w:val="left" w:pos="1635"/>
        </w:tabs>
        <w:spacing w:before="124" w:line="362" w:lineRule="auto"/>
        <w:ind w:right="216"/>
      </w:pPr>
      <w:r w:rsidRPr="00893646">
        <w:t>Режимы</w:t>
      </w:r>
      <w:r w:rsidRPr="00893646">
        <w:rPr>
          <w:spacing w:val="40"/>
        </w:rPr>
        <w:t xml:space="preserve"> </w:t>
      </w:r>
      <w:r w:rsidRPr="00893646">
        <w:t>международной</w:t>
      </w:r>
      <w:r w:rsidRPr="00893646">
        <w:rPr>
          <w:spacing w:val="40"/>
        </w:rPr>
        <w:t xml:space="preserve"> </w:t>
      </w:r>
      <w:r w:rsidRPr="00893646">
        <w:t>безопасности:</w:t>
      </w:r>
      <w:r w:rsidRPr="00893646">
        <w:rPr>
          <w:spacing w:val="40"/>
        </w:rPr>
        <w:t xml:space="preserve"> </w:t>
      </w:r>
      <w:r w:rsidRPr="00893646">
        <w:t>от</w:t>
      </w:r>
      <w:r w:rsidRPr="00893646">
        <w:rPr>
          <w:spacing w:val="40"/>
        </w:rPr>
        <w:t xml:space="preserve"> </w:t>
      </w:r>
      <w:r w:rsidRPr="00893646">
        <w:t>Хельсинки</w:t>
      </w:r>
      <w:r w:rsidRPr="00893646">
        <w:rPr>
          <w:spacing w:val="40"/>
        </w:rPr>
        <w:t xml:space="preserve"> </w:t>
      </w:r>
      <w:r w:rsidRPr="00893646">
        <w:t>до</w:t>
      </w:r>
      <w:r w:rsidRPr="00893646">
        <w:rPr>
          <w:spacing w:val="40"/>
        </w:rPr>
        <w:t xml:space="preserve"> </w:t>
      </w:r>
      <w:r w:rsidRPr="00893646">
        <w:t>Инициативы</w:t>
      </w:r>
      <w:r w:rsidRPr="00893646">
        <w:rPr>
          <w:spacing w:val="40"/>
        </w:rPr>
        <w:t xml:space="preserve"> </w:t>
      </w:r>
      <w:r w:rsidRPr="00893646">
        <w:t>глобальной</w:t>
      </w:r>
      <w:r w:rsidRPr="00893646">
        <w:rPr>
          <w:spacing w:val="40"/>
        </w:rPr>
        <w:t xml:space="preserve"> </w:t>
      </w:r>
      <w:r w:rsidRPr="00893646">
        <w:rPr>
          <w:spacing w:val="-2"/>
        </w:rPr>
        <w:t>безопасности</w:t>
      </w:r>
      <w:r w:rsidR="000A040D" w:rsidRPr="00893646">
        <w:rPr>
          <w:spacing w:val="-2"/>
        </w:rPr>
        <w:t xml:space="preserve"> (очная часть секции проходит в ИИМО ЮФУ)</w:t>
      </w:r>
      <w:r w:rsidRPr="00893646">
        <w:rPr>
          <w:spacing w:val="-2"/>
        </w:rPr>
        <w:t>;</w:t>
      </w:r>
    </w:p>
    <w:p w:rsidR="006440A7" w:rsidRPr="00893646" w:rsidRDefault="0036603D" w:rsidP="008F0C09">
      <w:pPr>
        <w:pStyle w:val="a5"/>
        <w:numPr>
          <w:ilvl w:val="0"/>
          <w:numId w:val="5"/>
        </w:numPr>
        <w:tabs>
          <w:tab w:val="left" w:pos="1635"/>
        </w:tabs>
        <w:spacing w:line="246" w:lineRule="exact"/>
      </w:pPr>
      <w:r w:rsidRPr="00893646">
        <w:t>Запад</w:t>
      </w:r>
      <w:r w:rsidRPr="00893646">
        <w:rPr>
          <w:spacing w:val="-8"/>
        </w:rPr>
        <w:t xml:space="preserve"> </w:t>
      </w:r>
      <w:proofErr w:type="spellStart"/>
      <w:r w:rsidRPr="00893646">
        <w:t>vs</w:t>
      </w:r>
      <w:proofErr w:type="spellEnd"/>
      <w:r w:rsidRPr="00893646">
        <w:rPr>
          <w:spacing w:val="-8"/>
        </w:rPr>
        <w:t xml:space="preserve"> </w:t>
      </w:r>
      <w:r w:rsidRPr="00893646">
        <w:t>Восток:</w:t>
      </w:r>
      <w:r w:rsidRPr="00893646">
        <w:rPr>
          <w:spacing w:val="-5"/>
        </w:rPr>
        <w:t xml:space="preserve"> </w:t>
      </w:r>
      <w:r w:rsidRPr="00893646">
        <w:t>философия</w:t>
      </w:r>
      <w:r w:rsidRPr="00893646">
        <w:rPr>
          <w:spacing w:val="-8"/>
        </w:rPr>
        <w:t xml:space="preserve"> </w:t>
      </w:r>
      <w:r w:rsidRPr="00893646">
        <w:t>и</w:t>
      </w:r>
      <w:r w:rsidRPr="00893646">
        <w:rPr>
          <w:spacing w:val="-7"/>
        </w:rPr>
        <w:t xml:space="preserve"> </w:t>
      </w:r>
      <w:r w:rsidRPr="00893646">
        <w:t>проекты</w:t>
      </w:r>
      <w:r w:rsidRPr="00893646">
        <w:rPr>
          <w:spacing w:val="-5"/>
        </w:rPr>
        <w:t xml:space="preserve"> </w:t>
      </w:r>
      <w:r w:rsidRPr="00893646">
        <w:t>коллективной</w:t>
      </w:r>
      <w:r w:rsidRPr="00893646">
        <w:rPr>
          <w:spacing w:val="-7"/>
        </w:rPr>
        <w:t xml:space="preserve"> </w:t>
      </w:r>
      <w:r w:rsidRPr="00893646">
        <w:rPr>
          <w:spacing w:val="-2"/>
        </w:rPr>
        <w:t>безопасности</w:t>
      </w:r>
      <w:r w:rsidR="000A040D" w:rsidRPr="00893646">
        <w:rPr>
          <w:spacing w:val="-2"/>
        </w:rPr>
        <w:t xml:space="preserve"> (очная часть секции проходит в ИИМО ЮФУ);</w:t>
      </w:r>
    </w:p>
    <w:p w:rsidR="006440A7" w:rsidRPr="00893646" w:rsidRDefault="0036603D" w:rsidP="008F0C09">
      <w:pPr>
        <w:pStyle w:val="a5"/>
        <w:numPr>
          <w:ilvl w:val="0"/>
          <w:numId w:val="5"/>
        </w:numPr>
        <w:tabs>
          <w:tab w:val="left" w:pos="1635"/>
        </w:tabs>
        <w:spacing w:before="125"/>
      </w:pPr>
      <w:r w:rsidRPr="00893646">
        <w:rPr>
          <w:spacing w:val="-2"/>
        </w:rPr>
        <w:t>Политэкономия</w:t>
      </w:r>
      <w:r w:rsidRPr="00893646">
        <w:rPr>
          <w:spacing w:val="13"/>
        </w:rPr>
        <w:t xml:space="preserve"> </w:t>
      </w:r>
      <w:r w:rsidRPr="00893646">
        <w:rPr>
          <w:spacing w:val="-2"/>
        </w:rPr>
        <w:t>международной</w:t>
      </w:r>
      <w:r w:rsidRPr="00893646">
        <w:rPr>
          <w:spacing w:val="10"/>
        </w:rPr>
        <w:t xml:space="preserve"> </w:t>
      </w:r>
      <w:r w:rsidR="000A040D" w:rsidRPr="00893646">
        <w:rPr>
          <w:spacing w:val="-2"/>
        </w:rPr>
        <w:t>безопасности (очная часть секции проходит в ИИМО ЮФУ).</w:t>
      </w:r>
    </w:p>
    <w:p w:rsidR="008F0C09" w:rsidRPr="00893646" w:rsidRDefault="004F5616" w:rsidP="004F5616">
      <w:pPr>
        <w:pStyle w:val="a5"/>
        <w:numPr>
          <w:ilvl w:val="0"/>
          <w:numId w:val="5"/>
        </w:numPr>
        <w:tabs>
          <w:tab w:val="left" w:pos="1635"/>
        </w:tabs>
        <w:spacing w:before="125"/>
      </w:pPr>
      <w:r w:rsidRPr="00893646">
        <w:t>Вопросы обеспечения безопасности Российской Федерации на евразийском пространстве в условиях формирования многополярного</w:t>
      </w:r>
      <w:r w:rsidR="005E1EAC" w:rsidRPr="00893646">
        <w:t xml:space="preserve"> </w:t>
      </w:r>
      <w:r w:rsidR="00893646" w:rsidRPr="00893646">
        <w:t>мира (</w:t>
      </w:r>
      <w:r w:rsidRPr="00893646">
        <w:rPr>
          <w:spacing w:val="-2"/>
        </w:rPr>
        <w:t xml:space="preserve">очная часть секции проходит в </w:t>
      </w:r>
      <w:r w:rsidR="008D7295" w:rsidRPr="00893646">
        <w:rPr>
          <w:spacing w:val="-2"/>
        </w:rPr>
        <w:t>ИМОМИ ННГУ</w:t>
      </w:r>
      <w:r w:rsidRPr="00893646">
        <w:rPr>
          <w:spacing w:val="-2"/>
        </w:rPr>
        <w:t>).</w:t>
      </w:r>
    </w:p>
    <w:p w:rsidR="000A040D" w:rsidRPr="00893646" w:rsidRDefault="008D7295" w:rsidP="008D7295">
      <w:pPr>
        <w:pStyle w:val="a5"/>
        <w:numPr>
          <w:ilvl w:val="0"/>
          <w:numId w:val="5"/>
        </w:numPr>
        <w:tabs>
          <w:tab w:val="left" w:pos="1635"/>
        </w:tabs>
        <w:spacing w:before="125"/>
      </w:pPr>
      <w:r w:rsidRPr="00893646">
        <w:t xml:space="preserve">Политическая </w:t>
      </w:r>
      <w:proofErr w:type="spellStart"/>
      <w:r w:rsidRPr="00893646">
        <w:t>регионалистик</w:t>
      </w:r>
      <w:r w:rsidR="005E1EAC" w:rsidRPr="00893646">
        <w:t>а</w:t>
      </w:r>
      <w:proofErr w:type="spellEnd"/>
      <w:r w:rsidRPr="00893646">
        <w:t xml:space="preserve"> в условиях новой </w:t>
      </w:r>
      <w:proofErr w:type="spellStart"/>
      <w:r w:rsidRPr="00893646">
        <w:t>мироустроительной</w:t>
      </w:r>
      <w:proofErr w:type="spellEnd"/>
      <w:r w:rsidRPr="00893646">
        <w:t xml:space="preserve"> архитектоники (</w:t>
      </w:r>
      <w:r w:rsidRPr="00893646">
        <w:rPr>
          <w:spacing w:val="-2"/>
        </w:rPr>
        <w:t>очная часть секции проходит в ИМОМИ ННГУ).</w:t>
      </w:r>
    </w:p>
    <w:p w:rsidR="00D16552" w:rsidRPr="00893646" w:rsidRDefault="0036603D">
      <w:pPr>
        <w:spacing w:before="124" w:line="362" w:lineRule="auto"/>
        <w:ind w:left="220" w:right="217" w:firstLine="708"/>
        <w:jc w:val="both"/>
      </w:pPr>
      <w:r w:rsidRPr="00893646">
        <w:t>В рамках конференции пройд</w:t>
      </w:r>
      <w:r w:rsidR="00D16552" w:rsidRPr="00893646">
        <w:t>ут круглые</w:t>
      </w:r>
      <w:r w:rsidRPr="00893646">
        <w:t xml:space="preserve"> стол</w:t>
      </w:r>
      <w:r w:rsidR="00D16552" w:rsidRPr="00893646">
        <w:t>ы по следующим направлениям:</w:t>
      </w:r>
      <w:r w:rsidRPr="00893646">
        <w:t xml:space="preserve"> </w:t>
      </w:r>
    </w:p>
    <w:p w:rsidR="006440A7" w:rsidRPr="00893646" w:rsidRDefault="0036603D" w:rsidP="008F0C09">
      <w:pPr>
        <w:pStyle w:val="a5"/>
        <w:numPr>
          <w:ilvl w:val="0"/>
          <w:numId w:val="2"/>
        </w:numPr>
        <w:spacing w:before="124" w:line="362" w:lineRule="auto"/>
        <w:ind w:left="714" w:hanging="357"/>
        <w:jc w:val="both"/>
      </w:pPr>
      <w:r w:rsidRPr="00893646">
        <w:rPr>
          <w:i/>
        </w:rPr>
        <w:t>«Большие данные в международных отношениях и проблемы кибербезопасности»</w:t>
      </w:r>
      <w:r w:rsidR="00D16552" w:rsidRPr="00893646">
        <w:rPr>
          <w:i/>
        </w:rPr>
        <w:t xml:space="preserve"> </w:t>
      </w:r>
      <w:r w:rsidR="00D16552" w:rsidRPr="00893646">
        <w:rPr>
          <w:spacing w:val="-2"/>
        </w:rPr>
        <w:t>(очная часть к\с проходит в ИИМО ЮФУ).</w:t>
      </w:r>
    </w:p>
    <w:p w:rsidR="00D16552" w:rsidRPr="00893646" w:rsidRDefault="00DA5973" w:rsidP="008F0C09">
      <w:pPr>
        <w:pStyle w:val="a5"/>
        <w:numPr>
          <w:ilvl w:val="0"/>
          <w:numId w:val="2"/>
        </w:numPr>
        <w:spacing w:before="124" w:line="362" w:lineRule="auto"/>
        <w:ind w:left="714" w:hanging="357"/>
        <w:jc w:val="both"/>
      </w:pPr>
      <w:r w:rsidRPr="00893646">
        <w:rPr>
          <w:i/>
        </w:rPr>
        <w:t xml:space="preserve">«Одна проблема - три </w:t>
      </w:r>
      <w:r w:rsidR="008D7295" w:rsidRPr="00893646">
        <w:rPr>
          <w:i/>
        </w:rPr>
        <w:t>измерения: международно-правовой, социально-политический и биологический аспекты современного мироустройства» (</w:t>
      </w:r>
      <w:r w:rsidR="00D16552" w:rsidRPr="00893646">
        <w:rPr>
          <w:spacing w:val="-2"/>
        </w:rPr>
        <w:t>очная часть к\с проходит в ИМОМИ ННГУ).</w:t>
      </w:r>
    </w:p>
    <w:p w:rsidR="00D16552" w:rsidRDefault="00D16552">
      <w:pPr>
        <w:spacing w:before="124" w:line="362" w:lineRule="auto"/>
        <w:ind w:left="220" w:right="217" w:firstLine="708"/>
        <w:jc w:val="both"/>
      </w:pPr>
    </w:p>
    <w:p w:rsidR="006440A7" w:rsidRDefault="0036603D">
      <w:pPr>
        <w:pStyle w:val="a4"/>
        <w:spacing w:line="246" w:lineRule="exact"/>
        <w:ind w:left="928"/>
        <w:jc w:val="both"/>
      </w:pPr>
      <w:r>
        <w:t>Языки</w:t>
      </w:r>
      <w:r>
        <w:rPr>
          <w:spacing w:val="-6"/>
        </w:rPr>
        <w:t xml:space="preserve"> </w:t>
      </w:r>
      <w:r>
        <w:t>конференции</w:t>
      </w:r>
      <w:r>
        <w:rPr>
          <w:spacing w:val="-6"/>
        </w:rPr>
        <w:t xml:space="preserve"> </w:t>
      </w:r>
      <w:r>
        <w:t>-</w:t>
      </w:r>
      <w:r>
        <w:rPr>
          <w:spacing w:val="-6"/>
        </w:rPr>
        <w:t xml:space="preserve"> </w:t>
      </w:r>
      <w:r>
        <w:t>русский</w:t>
      </w:r>
      <w:r>
        <w:rPr>
          <w:spacing w:val="-6"/>
        </w:rPr>
        <w:t xml:space="preserve"> </w:t>
      </w:r>
      <w:r>
        <w:t>и</w:t>
      </w:r>
      <w:r>
        <w:rPr>
          <w:spacing w:val="-5"/>
        </w:rPr>
        <w:t xml:space="preserve"> </w:t>
      </w:r>
      <w:r>
        <w:rPr>
          <w:spacing w:val="-2"/>
        </w:rPr>
        <w:t>английский.</w:t>
      </w:r>
    </w:p>
    <w:p w:rsidR="006440A7" w:rsidRDefault="0036603D">
      <w:pPr>
        <w:pStyle w:val="a4"/>
        <w:spacing w:before="125" w:line="360" w:lineRule="auto"/>
        <w:ind w:left="220" w:right="218" w:firstLine="708"/>
        <w:jc w:val="both"/>
      </w:pPr>
      <w:r>
        <w:lastRenderedPageBreak/>
        <w:t xml:space="preserve">Заявки на участие в конференции и круглом столе с аннотациями докладов и сообщений принимаются до </w:t>
      </w:r>
      <w:r>
        <w:rPr>
          <w:b/>
        </w:rPr>
        <w:t xml:space="preserve">01 июля 2025 г. </w:t>
      </w:r>
      <w:r>
        <w:rPr>
          <w:bCs/>
        </w:rPr>
        <w:t xml:space="preserve">через электронную форму </w:t>
      </w:r>
      <w:hyperlink r:id="rId10" w:history="1">
        <w:r>
          <w:rPr>
            <w:rStyle w:val="a3"/>
            <w:b/>
          </w:rPr>
          <w:t>https://forms.gle/oVN33XfyFTAXcY7k8</w:t>
        </w:r>
      </w:hyperlink>
      <w:r>
        <w:rPr>
          <w:b/>
        </w:rPr>
        <w:t xml:space="preserve"> </w:t>
      </w:r>
      <w:r>
        <w:rPr>
          <w:bCs/>
        </w:rPr>
        <w:t xml:space="preserve">или  </w:t>
      </w:r>
      <w:r>
        <w:t xml:space="preserve">на электронную почту конференции </w:t>
      </w:r>
      <w:hyperlink r:id="rId11">
        <w:r>
          <w:rPr>
            <w:color w:val="0000FF"/>
            <w:u w:val="single" w:color="0000FF"/>
          </w:rPr>
          <w:t>uncertainties@sfedu.ru</w:t>
        </w:r>
      </w:hyperlink>
      <w:r>
        <w:rPr>
          <w:color w:val="0000FF"/>
        </w:rPr>
        <w:t xml:space="preserve"> </w:t>
      </w:r>
      <w:r>
        <w:t>с указанием в теме письма “Global Uncertainties-2025”.</w:t>
      </w:r>
    </w:p>
    <w:p w:rsidR="006440A7" w:rsidRDefault="0036603D">
      <w:pPr>
        <w:ind w:left="928"/>
        <w:jc w:val="both"/>
        <w:rPr>
          <w:b/>
        </w:rPr>
      </w:pPr>
      <w:r>
        <w:t>Авторы</w:t>
      </w:r>
      <w:r>
        <w:rPr>
          <w:spacing w:val="-7"/>
        </w:rPr>
        <w:t xml:space="preserve"> </w:t>
      </w:r>
      <w:r>
        <w:t>принятых</w:t>
      </w:r>
      <w:r>
        <w:rPr>
          <w:spacing w:val="-9"/>
        </w:rPr>
        <w:t xml:space="preserve"> </w:t>
      </w:r>
      <w:r>
        <w:t>докладов</w:t>
      </w:r>
      <w:r>
        <w:rPr>
          <w:spacing w:val="-6"/>
        </w:rPr>
        <w:t xml:space="preserve"> </w:t>
      </w:r>
      <w:r>
        <w:t>будут</w:t>
      </w:r>
      <w:r>
        <w:rPr>
          <w:spacing w:val="-4"/>
        </w:rPr>
        <w:t xml:space="preserve"> </w:t>
      </w:r>
      <w:r>
        <w:t>оповещены</w:t>
      </w:r>
      <w:r>
        <w:rPr>
          <w:spacing w:val="-7"/>
        </w:rPr>
        <w:t xml:space="preserve"> </w:t>
      </w:r>
      <w:r>
        <w:t>до</w:t>
      </w:r>
      <w:r>
        <w:rPr>
          <w:spacing w:val="-5"/>
        </w:rPr>
        <w:t xml:space="preserve"> </w:t>
      </w:r>
      <w:r>
        <w:rPr>
          <w:b/>
        </w:rPr>
        <w:t>31</w:t>
      </w:r>
      <w:r>
        <w:rPr>
          <w:b/>
          <w:spacing w:val="-4"/>
        </w:rPr>
        <w:t xml:space="preserve"> </w:t>
      </w:r>
      <w:r>
        <w:rPr>
          <w:b/>
        </w:rPr>
        <w:t>июля</w:t>
      </w:r>
      <w:r>
        <w:rPr>
          <w:b/>
          <w:spacing w:val="-8"/>
        </w:rPr>
        <w:t xml:space="preserve"> </w:t>
      </w:r>
      <w:r>
        <w:rPr>
          <w:b/>
        </w:rPr>
        <w:t>2025</w:t>
      </w:r>
      <w:r>
        <w:rPr>
          <w:b/>
          <w:spacing w:val="-6"/>
        </w:rPr>
        <w:t xml:space="preserve"> </w:t>
      </w:r>
      <w:r>
        <w:rPr>
          <w:b/>
          <w:spacing w:val="-5"/>
        </w:rPr>
        <w:t>г.</w:t>
      </w:r>
    </w:p>
    <w:p w:rsidR="000A040D" w:rsidRDefault="0036603D" w:rsidP="008F0C09">
      <w:pPr>
        <w:pStyle w:val="a4"/>
        <w:spacing w:before="125"/>
        <w:ind w:left="928"/>
        <w:jc w:val="both"/>
      </w:pPr>
      <w:r>
        <w:t>Расходы</w:t>
      </w:r>
      <w:r>
        <w:rPr>
          <w:spacing w:val="-11"/>
        </w:rPr>
        <w:t xml:space="preserve"> </w:t>
      </w:r>
      <w:r>
        <w:t>по</w:t>
      </w:r>
      <w:r>
        <w:rPr>
          <w:spacing w:val="-6"/>
        </w:rPr>
        <w:t xml:space="preserve"> </w:t>
      </w:r>
      <w:r>
        <w:t>оплате</w:t>
      </w:r>
      <w:r>
        <w:rPr>
          <w:spacing w:val="-6"/>
        </w:rPr>
        <w:t xml:space="preserve"> </w:t>
      </w:r>
      <w:r>
        <w:t>проезда</w:t>
      </w:r>
      <w:r>
        <w:rPr>
          <w:spacing w:val="-7"/>
        </w:rPr>
        <w:t xml:space="preserve"> </w:t>
      </w:r>
      <w:r>
        <w:t>и</w:t>
      </w:r>
      <w:r>
        <w:rPr>
          <w:spacing w:val="-8"/>
        </w:rPr>
        <w:t xml:space="preserve"> </w:t>
      </w:r>
      <w:r>
        <w:t>проживания</w:t>
      </w:r>
      <w:r>
        <w:rPr>
          <w:spacing w:val="-8"/>
        </w:rPr>
        <w:t xml:space="preserve"> </w:t>
      </w:r>
      <w:r>
        <w:t>несет</w:t>
      </w:r>
      <w:r>
        <w:rPr>
          <w:spacing w:val="-5"/>
        </w:rPr>
        <w:t xml:space="preserve"> </w:t>
      </w:r>
      <w:r>
        <w:t>направляющая</w:t>
      </w:r>
      <w:r>
        <w:rPr>
          <w:spacing w:val="-4"/>
        </w:rPr>
        <w:t xml:space="preserve"> </w:t>
      </w:r>
      <w:r>
        <w:rPr>
          <w:spacing w:val="-2"/>
        </w:rPr>
        <w:t>сторона.</w:t>
      </w:r>
    </w:p>
    <w:p w:rsidR="008F0C09" w:rsidRDefault="008F0C09" w:rsidP="008F0C09">
      <w:pPr>
        <w:pStyle w:val="a4"/>
        <w:spacing w:before="125"/>
        <w:ind w:left="928"/>
        <w:jc w:val="both"/>
      </w:pPr>
    </w:p>
    <w:p w:rsidR="006440A7" w:rsidRDefault="0036603D">
      <w:pPr>
        <w:pStyle w:val="a4"/>
        <w:spacing w:before="124" w:line="360" w:lineRule="auto"/>
        <w:ind w:left="220" w:right="216" w:firstLine="708"/>
        <w:jc w:val="both"/>
      </w:pPr>
      <w:r>
        <w:t>Доклады, прозвучавшие на конференции, могут быть опубликованы в коллективной монографии серии «Новая нормальность» в международных отношениях».</w:t>
      </w:r>
    </w:p>
    <w:p w:rsidR="006440A7" w:rsidRDefault="0036603D">
      <w:pPr>
        <w:pStyle w:val="a4"/>
        <w:spacing w:before="2"/>
        <w:ind w:left="928"/>
        <w:jc w:val="both"/>
      </w:pPr>
      <w:r>
        <w:t>Планируемая</w:t>
      </w:r>
      <w:r>
        <w:rPr>
          <w:spacing w:val="-5"/>
        </w:rPr>
        <w:t xml:space="preserve"> </w:t>
      </w:r>
      <w:r>
        <w:t>дата</w:t>
      </w:r>
      <w:r>
        <w:rPr>
          <w:spacing w:val="-7"/>
        </w:rPr>
        <w:t xml:space="preserve"> </w:t>
      </w:r>
      <w:r>
        <w:t>выхода</w:t>
      </w:r>
      <w:r>
        <w:rPr>
          <w:spacing w:val="-4"/>
        </w:rPr>
        <w:t xml:space="preserve"> </w:t>
      </w:r>
      <w:r>
        <w:t>монографии</w:t>
      </w:r>
      <w:r>
        <w:rPr>
          <w:spacing w:val="-7"/>
        </w:rPr>
        <w:t xml:space="preserve"> </w:t>
      </w:r>
      <w:r>
        <w:t>-</w:t>
      </w:r>
      <w:r>
        <w:rPr>
          <w:spacing w:val="43"/>
        </w:rPr>
        <w:t xml:space="preserve"> </w:t>
      </w:r>
      <w:r>
        <w:t>2026</w:t>
      </w:r>
      <w:r>
        <w:rPr>
          <w:spacing w:val="-6"/>
        </w:rPr>
        <w:t xml:space="preserve"> </w:t>
      </w:r>
      <w:r>
        <w:rPr>
          <w:spacing w:val="-5"/>
        </w:rPr>
        <w:t>г.</w:t>
      </w:r>
    </w:p>
    <w:p w:rsidR="006440A7" w:rsidRDefault="0036603D">
      <w:pPr>
        <w:spacing w:before="124"/>
        <w:ind w:left="928"/>
        <w:jc w:val="both"/>
      </w:pPr>
      <w:r>
        <w:rPr>
          <w:i/>
        </w:rPr>
        <w:t>Дополнительная</w:t>
      </w:r>
      <w:r>
        <w:rPr>
          <w:i/>
          <w:spacing w:val="-14"/>
        </w:rPr>
        <w:t xml:space="preserve"> </w:t>
      </w:r>
      <w:r>
        <w:rPr>
          <w:i/>
        </w:rPr>
        <w:t>информация:</w:t>
      </w:r>
      <w:r>
        <w:rPr>
          <w:i/>
          <w:spacing w:val="-11"/>
        </w:rPr>
        <w:t xml:space="preserve"> </w:t>
      </w:r>
      <w:r>
        <w:t>Карнаухова</w:t>
      </w:r>
      <w:r>
        <w:rPr>
          <w:spacing w:val="-12"/>
        </w:rPr>
        <w:t xml:space="preserve"> </w:t>
      </w:r>
      <w:r>
        <w:t>Оксана</w:t>
      </w:r>
      <w:r>
        <w:rPr>
          <w:spacing w:val="-11"/>
        </w:rPr>
        <w:t xml:space="preserve"> </w:t>
      </w:r>
      <w:r>
        <w:t>Сергеевна</w:t>
      </w:r>
      <w:r>
        <w:rPr>
          <w:spacing w:val="-11"/>
        </w:rPr>
        <w:t xml:space="preserve"> </w:t>
      </w:r>
      <w:hyperlink r:id="rId12">
        <w:r>
          <w:rPr>
            <w:color w:val="0000FF"/>
            <w:spacing w:val="-2"/>
            <w:u w:val="single" w:color="0000FF"/>
          </w:rPr>
          <w:t>oskarnauhova@sfedu.ru</w:t>
        </w:r>
      </w:hyperlink>
    </w:p>
    <w:p w:rsidR="000A040D" w:rsidRDefault="000A040D">
      <w:pPr>
        <w:jc w:val="both"/>
        <w:sectPr w:rsidR="000A040D">
          <w:type w:val="continuous"/>
          <w:pgSz w:w="11910" w:h="16840"/>
          <w:pgMar w:top="780" w:right="500" w:bottom="280" w:left="500" w:header="720" w:footer="720" w:gutter="0"/>
          <w:cols w:space="720"/>
        </w:sectPr>
      </w:pPr>
    </w:p>
    <w:p w:rsidR="006440A7" w:rsidRDefault="0036603D">
      <w:pPr>
        <w:spacing w:before="71"/>
        <w:ind w:left="4868"/>
        <w:rPr>
          <w:b/>
          <w:sz w:val="24"/>
        </w:rPr>
      </w:pPr>
      <w:r>
        <w:rPr>
          <w:b/>
          <w:spacing w:val="-2"/>
          <w:sz w:val="24"/>
        </w:rPr>
        <w:lastRenderedPageBreak/>
        <w:t>Анкета-заявка</w:t>
      </w:r>
    </w:p>
    <w:p w:rsidR="006440A7" w:rsidRDefault="0036603D">
      <w:pPr>
        <w:spacing w:before="136" w:line="360" w:lineRule="auto"/>
        <w:ind w:left="356" w:firstLine="847"/>
        <w:rPr>
          <w:b/>
          <w:sz w:val="24"/>
        </w:rPr>
      </w:pPr>
      <w:r>
        <w:rPr>
          <w:b/>
          <w:sz w:val="24"/>
        </w:rPr>
        <w:t>на участие в Международной научной конференции «Международные отношения</w:t>
      </w:r>
      <w:r>
        <w:rPr>
          <w:b/>
          <w:spacing w:val="-5"/>
          <w:sz w:val="24"/>
        </w:rPr>
        <w:t xml:space="preserve"> </w:t>
      </w:r>
      <w:r>
        <w:rPr>
          <w:b/>
          <w:sz w:val="24"/>
        </w:rPr>
        <w:t>в</w:t>
      </w:r>
      <w:r>
        <w:rPr>
          <w:b/>
          <w:spacing w:val="-5"/>
          <w:sz w:val="24"/>
        </w:rPr>
        <w:t xml:space="preserve"> </w:t>
      </w:r>
      <w:r>
        <w:rPr>
          <w:b/>
          <w:sz w:val="24"/>
        </w:rPr>
        <w:t>ситуациях</w:t>
      </w:r>
      <w:r>
        <w:rPr>
          <w:b/>
          <w:spacing w:val="-5"/>
          <w:sz w:val="24"/>
        </w:rPr>
        <w:t xml:space="preserve"> </w:t>
      </w:r>
      <w:r>
        <w:rPr>
          <w:b/>
          <w:sz w:val="24"/>
        </w:rPr>
        <w:t>глобальной</w:t>
      </w:r>
      <w:r>
        <w:rPr>
          <w:b/>
          <w:spacing w:val="-7"/>
          <w:sz w:val="24"/>
        </w:rPr>
        <w:t xml:space="preserve"> </w:t>
      </w:r>
      <w:r>
        <w:rPr>
          <w:b/>
          <w:sz w:val="24"/>
        </w:rPr>
        <w:t>неопределенности:</w:t>
      </w:r>
      <w:r>
        <w:rPr>
          <w:b/>
          <w:spacing w:val="-5"/>
          <w:sz w:val="24"/>
        </w:rPr>
        <w:t xml:space="preserve"> </w:t>
      </w:r>
      <w:r>
        <w:rPr>
          <w:b/>
          <w:sz w:val="24"/>
        </w:rPr>
        <w:t>безопасность</w:t>
      </w:r>
      <w:r>
        <w:rPr>
          <w:b/>
          <w:spacing w:val="-6"/>
          <w:sz w:val="24"/>
        </w:rPr>
        <w:t xml:space="preserve"> </w:t>
      </w:r>
      <w:r>
        <w:rPr>
          <w:b/>
          <w:sz w:val="24"/>
        </w:rPr>
        <w:t>в</w:t>
      </w:r>
      <w:r>
        <w:rPr>
          <w:b/>
          <w:spacing w:val="-3"/>
          <w:sz w:val="24"/>
        </w:rPr>
        <w:t xml:space="preserve"> </w:t>
      </w:r>
      <w:r>
        <w:rPr>
          <w:b/>
          <w:sz w:val="24"/>
        </w:rPr>
        <w:t>точках</w:t>
      </w:r>
    </w:p>
    <w:p w:rsidR="006440A7" w:rsidRDefault="0036603D">
      <w:pPr>
        <w:ind w:left="4561"/>
        <w:rPr>
          <w:b/>
          <w:sz w:val="24"/>
        </w:rPr>
      </w:pPr>
      <w:r>
        <w:rPr>
          <w:b/>
          <w:spacing w:val="-2"/>
          <w:sz w:val="24"/>
        </w:rPr>
        <w:t>бифуркации»</w:t>
      </w:r>
    </w:p>
    <w:p w:rsidR="006440A7" w:rsidRDefault="006440A7">
      <w:pPr>
        <w:pStyle w:val="a4"/>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52"/>
        <w:gridCol w:w="7030"/>
      </w:tblGrid>
      <w:tr w:rsidR="006440A7">
        <w:trPr>
          <w:trHeight w:val="545"/>
        </w:trPr>
        <w:tc>
          <w:tcPr>
            <w:tcW w:w="3652" w:type="dxa"/>
          </w:tcPr>
          <w:p w:rsidR="006440A7" w:rsidRDefault="0036603D">
            <w:pPr>
              <w:pStyle w:val="TableParagraph"/>
              <w:spacing w:line="272" w:lineRule="exact"/>
              <w:ind w:right="4"/>
              <w:rPr>
                <w:b/>
                <w:sz w:val="24"/>
              </w:rPr>
            </w:pPr>
            <w:r>
              <w:rPr>
                <w:b/>
                <w:spacing w:val="-5"/>
                <w:sz w:val="24"/>
              </w:rPr>
              <w:t>ФИО</w:t>
            </w:r>
          </w:p>
        </w:tc>
        <w:tc>
          <w:tcPr>
            <w:tcW w:w="7030" w:type="dxa"/>
          </w:tcPr>
          <w:p w:rsidR="006440A7" w:rsidRDefault="006440A7">
            <w:pPr>
              <w:pStyle w:val="TableParagraph"/>
              <w:ind w:left="0"/>
              <w:jc w:val="left"/>
              <w:rPr>
                <w:rFonts w:ascii="Times New Roman"/>
                <w:sz w:val="24"/>
              </w:rPr>
            </w:pPr>
          </w:p>
        </w:tc>
      </w:tr>
      <w:tr w:rsidR="006440A7">
        <w:trPr>
          <w:trHeight w:val="545"/>
        </w:trPr>
        <w:tc>
          <w:tcPr>
            <w:tcW w:w="3652" w:type="dxa"/>
          </w:tcPr>
          <w:p w:rsidR="006440A7" w:rsidRDefault="0036603D">
            <w:pPr>
              <w:pStyle w:val="TableParagraph"/>
              <w:spacing w:line="272" w:lineRule="exact"/>
              <w:ind w:right="5"/>
              <w:rPr>
                <w:b/>
                <w:sz w:val="24"/>
              </w:rPr>
            </w:pPr>
            <w:r>
              <w:rPr>
                <w:b/>
                <w:sz w:val="24"/>
              </w:rPr>
              <w:t>Ученая</w:t>
            </w:r>
            <w:r>
              <w:rPr>
                <w:b/>
                <w:spacing w:val="-4"/>
                <w:sz w:val="24"/>
              </w:rPr>
              <w:t xml:space="preserve"> </w:t>
            </w:r>
            <w:r>
              <w:rPr>
                <w:b/>
                <w:spacing w:val="-2"/>
                <w:sz w:val="24"/>
              </w:rPr>
              <w:t>степень</w:t>
            </w:r>
          </w:p>
        </w:tc>
        <w:tc>
          <w:tcPr>
            <w:tcW w:w="7030" w:type="dxa"/>
          </w:tcPr>
          <w:p w:rsidR="006440A7" w:rsidRDefault="006440A7">
            <w:pPr>
              <w:pStyle w:val="TableParagraph"/>
              <w:ind w:left="0"/>
              <w:jc w:val="left"/>
              <w:rPr>
                <w:rFonts w:ascii="Times New Roman"/>
                <w:sz w:val="24"/>
              </w:rPr>
            </w:pPr>
          </w:p>
        </w:tc>
      </w:tr>
      <w:tr w:rsidR="006440A7">
        <w:trPr>
          <w:trHeight w:val="545"/>
        </w:trPr>
        <w:tc>
          <w:tcPr>
            <w:tcW w:w="3652" w:type="dxa"/>
          </w:tcPr>
          <w:p w:rsidR="006440A7" w:rsidRDefault="0036603D">
            <w:pPr>
              <w:pStyle w:val="TableParagraph"/>
              <w:spacing w:line="272" w:lineRule="exact"/>
              <w:ind w:right="3"/>
              <w:rPr>
                <w:b/>
                <w:sz w:val="24"/>
              </w:rPr>
            </w:pPr>
            <w:r>
              <w:rPr>
                <w:b/>
                <w:sz w:val="24"/>
              </w:rPr>
              <w:t>Ученое</w:t>
            </w:r>
            <w:r>
              <w:rPr>
                <w:b/>
                <w:spacing w:val="-2"/>
                <w:sz w:val="24"/>
              </w:rPr>
              <w:t xml:space="preserve"> звание</w:t>
            </w:r>
          </w:p>
        </w:tc>
        <w:tc>
          <w:tcPr>
            <w:tcW w:w="7030" w:type="dxa"/>
          </w:tcPr>
          <w:p w:rsidR="006440A7" w:rsidRDefault="006440A7">
            <w:pPr>
              <w:pStyle w:val="TableParagraph"/>
              <w:ind w:left="0"/>
              <w:jc w:val="left"/>
              <w:rPr>
                <w:rFonts w:ascii="Times New Roman"/>
                <w:sz w:val="24"/>
              </w:rPr>
            </w:pPr>
          </w:p>
        </w:tc>
      </w:tr>
      <w:tr w:rsidR="006440A7">
        <w:trPr>
          <w:trHeight w:val="546"/>
        </w:trPr>
        <w:tc>
          <w:tcPr>
            <w:tcW w:w="3652" w:type="dxa"/>
          </w:tcPr>
          <w:p w:rsidR="006440A7" w:rsidRDefault="0036603D">
            <w:pPr>
              <w:pStyle w:val="TableParagraph"/>
              <w:spacing w:before="1"/>
              <w:rPr>
                <w:b/>
                <w:sz w:val="24"/>
              </w:rPr>
            </w:pPr>
            <w:r>
              <w:rPr>
                <w:b/>
                <w:spacing w:val="-2"/>
                <w:sz w:val="24"/>
              </w:rPr>
              <w:t>Должность</w:t>
            </w:r>
          </w:p>
        </w:tc>
        <w:tc>
          <w:tcPr>
            <w:tcW w:w="7030" w:type="dxa"/>
          </w:tcPr>
          <w:p w:rsidR="006440A7" w:rsidRDefault="006440A7">
            <w:pPr>
              <w:pStyle w:val="TableParagraph"/>
              <w:ind w:left="0"/>
              <w:jc w:val="left"/>
              <w:rPr>
                <w:rFonts w:ascii="Times New Roman"/>
                <w:sz w:val="24"/>
              </w:rPr>
            </w:pPr>
          </w:p>
        </w:tc>
      </w:tr>
      <w:tr w:rsidR="006440A7">
        <w:trPr>
          <w:trHeight w:val="545"/>
        </w:trPr>
        <w:tc>
          <w:tcPr>
            <w:tcW w:w="3652" w:type="dxa"/>
          </w:tcPr>
          <w:p w:rsidR="006440A7" w:rsidRDefault="0036603D">
            <w:pPr>
              <w:pStyle w:val="TableParagraph"/>
              <w:spacing w:line="272" w:lineRule="exact"/>
              <w:ind w:right="2"/>
              <w:rPr>
                <w:b/>
                <w:sz w:val="24"/>
              </w:rPr>
            </w:pPr>
            <w:r>
              <w:rPr>
                <w:b/>
                <w:sz w:val="24"/>
              </w:rPr>
              <w:t>Место</w:t>
            </w:r>
            <w:r>
              <w:rPr>
                <w:b/>
                <w:spacing w:val="-3"/>
                <w:sz w:val="24"/>
              </w:rPr>
              <w:t xml:space="preserve"> </w:t>
            </w:r>
            <w:r>
              <w:rPr>
                <w:b/>
                <w:spacing w:val="-2"/>
                <w:sz w:val="24"/>
              </w:rPr>
              <w:t>работы/учебы</w:t>
            </w:r>
          </w:p>
        </w:tc>
        <w:tc>
          <w:tcPr>
            <w:tcW w:w="7030" w:type="dxa"/>
          </w:tcPr>
          <w:p w:rsidR="006440A7" w:rsidRDefault="006440A7">
            <w:pPr>
              <w:pStyle w:val="TableParagraph"/>
              <w:ind w:left="0"/>
              <w:jc w:val="left"/>
              <w:rPr>
                <w:rFonts w:ascii="Times New Roman"/>
                <w:sz w:val="24"/>
              </w:rPr>
            </w:pPr>
          </w:p>
        </w:tc>
      </w:tr>
      <w:tr w:rsidR="006440A7">
        <w:trPr>
          <w:trHeight w:val="545"/>
        </w:trPr>
        <w:tc>
          <w:tcPr>
            <w:tcW w:w="3652" w:type="dxa"/>
          </w:tcPr>
          <w:p w:rsidR="006440A7" w:rsidRDefault="0036603D">
            <w:pPr>
              <w:pStyle w:val="TableParagraph"/>
              <w:spacing w:before="1"/>
              <w:ind w:right="5"/>
              <w:rPr>
                <w:b/>
                <w:sz w:val="24"/>
              </w:rPr>
            </w:pPr>
            <w:r>
              <w:rPr>
                <w:b/>
                <w:sz w:val="24"/>
              </w:rPr>
              <w:t>Название</w:t>
            </w:r>
            <w:r>
              <w:rPr>
                <w:b/>
                <w:spacing w:val="-3"/>
                <w:sz w:val="24"/>
              </w:rPr>
              <w:t xml:space="preserve"> </w:t>
            </w:r>
            <w:r>
              <w:rPr>
                <w:b/>
                <w:spacing w:val="-2"/>
                <w:sz w:val="24"/>
              </w:rPr>
              <w:t>доклада</w:t>
            </w:r>
          </w:p>
        </w:tc>
        <w:tc>
          <w:tcPr>
            <w:tcW w:w="7030" w:type="dxa"/>
          </w:tcPr>
          <w:p w:rsidR="006440A7" w:rsidRDefault="006440A7">
            <w:pPr>
              <w:pStyle w:val="TableParagraph"/>
              <w:ind w:left="0"/>
              <w:jc w:val="left"/>
              <w:rPr>
                <w:rFonts w:ascii="Times New Roman"/>
                <w:sz w:val="24"/>
              </w:rPr>
            </w:pPr>
          </w:p>
        </w:tc>
      </w:tr>
      <w:tr w:rsidR="006440A7">
        <w:trPr>
          <w:trHeight w:val="1090"/>
        </w:trPr>
        <w:tc>
          <w:tcPr>
            <w:tcW w:w="3652" w:type="dxa"/>
          </w:tcPr>
          <w:p w:rsidR="006440A7" w:rsidRDefault="0036603D">
            <w:pPr>
              <w:pStyle w:val="TableParagraph"/>
              <w:spacing w:line="272" w:lineRule="exact"/>
              <w:ind w:right="2"/>
              <w:rPr>
                <w:b/>
                <w:sz w:val="24"/>
              </w:rPr>
            </w:pPr>
            <w:r>
              <w:rPr>
                <w:b/>
                <w:sz w:val="24"/>
              </w:rPr>
              <w:t>Тезисы</w:t>
            </w:r>
            <w:r>
              <w:rPr>
                <w:b/>
                <w:spacing w:val="-1"/>
                <w:sz w:val="24"/>
              </w:rPr>
              <w:t xml:space="preserve"> </w:t>
            </w:r>
            <w:r>
              <w:rPr>
                <w:b/>
                <w:spacing w:val="-2"/>
                <w:sz w:val="24"/>
              </w:rPr>
              <w:t>доклада</w:t>
            </w:r>
          </w:p>
          <w:p w:rsidR="006440A7" w:rsidRDefault="0036603D">
            <w:pPr>
              <w:pStyle w:val="TableParagraph"/>
              <w:spacing w:before="272"/>
              <w:ind w:right="2"/>
              <w:rPr>
                <w:b/>
                <w:sz w:val="24"/>
              </w:rPr>
            </w:pPr>
            <w:r>
              <w:rPr>
                <w:b/>
                <w:sz w:val="24"/>
              </w:rPr>
              <w:t>(до</w:t>
            </w:r>
            <w:r>
              <w:rPr>
                <w:b/>
                <w:spacing w:val="-1"/>
                <w:sz w:val="24"/>
              </w:rPr>
              <w:t xml:space="preserve"> </w:t>
            </w:r>
            <w:r>
              <w:rPr>
                <w:b/>
                <w:sz w:val="24"/>
              </w:rPr>
              <w:t>250</w:t>
            </w:r>
            <w:r>
              <w:rPr>
                <w:b/>
                <w:spacing w:val="-4"/>
                <w:sz w:val="24"/>
              </w:rPr>
              <w:t xml:space="preserve"> </w:t>
            </w:r>
            <w:r>
              <w:rPr>
                <w:b/>
                <w:spacing w:val="-2"/>
                <w:sz w:val="24"/>
              </w:rPr>
              <w:t>слов)</w:t>
            </w:r>
          </w:p>
        </w:tc>
        <w:tc>
          <w:tcPr>
            <w:tcW w:w="7030" w:type="dxa"/>
          </w:tcPr>
          <w:p w:rsidR="006440A7" w:rsidRDefault="006440A7">
            <w:pPr>
              <w:pStyle w:val="TableParagraph"/>
              <w:ind w:left="0"/>
              <w:jc w:val="left"/>
              <w:rPr>
                <w:rFonts w:ascii="Times New Roman"/>
                <w:sz w:val="24"/>
              </w:rPr>
            </w:pPr>
          </w:p>
        </w:tc>
      </w:tr>
      <w:tr w:rsidR="006440A7">
        <w:trPr>
          <w:trHeight w:val="1091"/>
        </w:trPr>
        <w:tc>
          <w:tcPr>
            <w:tcW w:w="3652" w:type="dxa"/>
          </w:tcPr>
          <w:p w:rsidR="006440A7" w:rsidRDefault="0036603D">
            <w:pPr>
              <w:pStyle w:val="TableParagraph"/>
              <w:spacing w:before="1"/>
              <w:ind w:right="1"/>
              <w:rPr>
                <w:b/>
                <w:sz w:val="24"/>
              </w:rPr>
            </w:pPr>
            <w:r>
              <w:rPr>
                <w:b/>
                <w:spacing w:val="-2"/>
                <w:sz w:val="24"/>
              </w:rPr>
              <w:t>Предполагаемая</w:t>
            </w:r>
          </w:p>
          <w:p w:rsidR="006440A7" w:rsidRDefault="0036603D">
            <w:pPr>
              <w:pStyle w:val="TableParagraph"/>
              <w:spacing w:before="272"/>
              <w:rPr>
                <w:b/>
                <w:sz w:val="24"/>
              </w:rPr>
            </w:pPr>
            <w:r>
              <w:rPr>
                <w:b/>
                <w:sz w:val="24"/>
              </w:rPr>
              <w:t>площадка выступления (ИИМО ЮФУ, ИМОМИ ННГУ)</w:t>
            </w:r>
          </w:p>
        </w:tc>
        <w:tc>
          <w:tcPr>
            <w:tcW w:w="7030" w:type="dxa"/>
          </w:tcPr>
          <w:p w:rsidR="006440A7" w:rsidRDefault="006440A7">
            <w:pPr>
              <w:pStyle w:val="TableParagraph"/>
              <w:ind w:left="0"/>
              <w:jc w:val="left"/>
              <w:rPr>
                <w:rFonts w:ascii="Times New Roman"/>
                <w:sz w:val="24"/>
              </w:rPr>
            </w:pPr>
          </w:p>
        </w:tc>
      </w:tr>
      <w:tr w:rsidR="006440A7">
        <w:trPr>
          <w:trHeight w:val="1091"/>
        </w:trPr>
        <w:tc>
          <w:tcPr>
            <w:tcW w:w="3652" w:type="dxa"/>
          </w:tcPr>
          <w:p w:rsidR="006440A7" w:rsidRDefault="0036603D">
            <w:pPr>
              <w:pStyle w:val="TableParagraph"/>
              <w:spacing w:line="272" w:lineRule="exact"/>
              <w:ind w:right="2"/>
              <w:rPr>
                <w:b/>
                <w:sz w:val="24"/>
              </w:rPr>
            </w:pPr>
            <w:r>
              <w:rPr>
                <w:b/>
                <w:sz w:val="24"/>
              </w:rPr>
              <w:t>Адрес</w:t>
            </w:r>
            <w:r>
              <w:rPr>
                <w:b/>
                <w:spacing w:val="-2"/>
                <w:sz w:val="24"/>
              </w:rPr>
              <w:t xml:space="preserve"> электронной</w:t>
            </w:r>
          </w:p>
          <w:p w:rsidR="006440A7" w:rsidRDefault="0036603D">
            <w:pPr>
              <w:pStyle w:val="TableParagraph"/>
              <w:spacing w:before="272"/>
              <w:ind w:right="5"/>
              <w:rPr>
                <w:b/>
                <w:sz w:val="24"/>
              </w:rPr>
            </w:pPr>
            <w:r>
              <w:rPr>
                <w:b/>
                <w:spacing w:val="-2"/>
                <w:sz w:val="24"/>
              </w:rPr>
              <w:t>почты</w:t>
            </w:r>
          </w:p>
        </w:tc>
        <w:tc>
          <w:tcPr>
            <w:tcW w:w="7030" w:type="dxa"/>
          </w:tcPr>
          <w:p w:rsidR="006440A7" w:rsidRDefault="006440A7">
            <w:pPr>
              <w:pStyle w:val="TableParagraph"/>
              <w:ind w:left="0"/>
              <w:jc w:val="left"/>
              <w:rPr>
                <w:rFonts w:ascii="Times New Roman"/>
                <w:sz w:val="24"/>
              </w:rPr>
            </w:pPr>
          </w:p>
        </w:tc>
      </w:tr>
      <w:tr w:rsidR="006440A7">
        <w:trPr>
          <w:trHeight w:val="545"/>
        </w:trPr>
        <w:tc>
          <w:tcPr>
            <w:tcW w:w="3652" w:type="dxa"/>
          </w:tcPr>
          <w:p w:rsidR="006440A7" w:rsidRDefault="0036603D">
            <w:pPr>
              <w:pStyle w:val="TableParagraph"/>
              <w:ind w:right="4"/>
              <w:rPr>
                <w:b/>
                <w:sz w:val="24"/>
              </w:rPr>
            </w:pPr>
            <w:r>
              <w:rPr>
                <w:b/>
                <w:sz w:val="24"/>
              </w:rPr>
              <w:t>Контактный</w:t>
            </w:r>
            <w:r>
              <w:rPr>
                <w:b/>
                <w:spacing w:val="-6"/>
                <w:sz w:val="24"/>
              </w:rPr>
              <w:t xml:space="preserve"> </w:t>
            </w:r>
            <w:r>
              <w:rPr>
                <w:b/>
                <w:spacing w:val="-2"/>
                <w:sz w:val="24"/>
              </w:rPr>
              <w:t>телефон</w:t>
            </w:r>
          </w:p>
        </w:tc>
        <w:tc>
          <w:tcPr>
            <w:tcW w:w="7030" w:type="dxa"/>
          </w:tcPr>
          <w:p w:rsidR="006440A7" w:rsidRDefault="006440A7">
            <w:pPr>
              <w:pStyle w:val="TableParagraph"/>
              <w:ind w:left="0"/>
              <w:jc w:val="left"/>
              <w:rPr>
                <w:rFonts w:ascii="Times New Roman"/>
                <w:sz w:val="24"/>
              </w:rPr>
            </w:pPr>
          </w:p>
        </w:tc>
      </w:tr>
    </w:tbl>
    <w:p w:rsidR="006440A7" w:rsidRDefault="006440A7"/>
    <w:sectPr w:rsidR="006440A7" w:rsidSect="00AE1D39">
      <w:pgSz w:w="11910" w:h="16840"/>
      <w:pgMar w:top="104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696" w:rsidRDefault="00277696">
      <w:r>
        <w:separator/>
      </w:r>
    </w:p>
  </w:endnote>
  <w:endnote w:type="continuationSeparator" w:id="0">
    <w:p w:rsidR="00277696" w:rsidRDefault="0027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696" w:rsidRDefault="00277696">
      <w:r>
        <w:separator/>
      </w:r>
    </w:p>
  </w:footnote>
  <w:footnote w:type="continuationSeparator" w:id="0">
    <w:p w:rsidR="00277696" w:rsidRDefault="0027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numFmt w:val="bullet"/>
      <w:lvlText w:val=""/>
      <w:lvlJc w:val="left"/>
      <w:pPr>
        <w:ind w:left="786" w:hanging="850"/>
      </w:pPr>
      <w:rPr>
        <w:rFonts w:ascii="Wingdings" w:eastAsia="Wingdings" w:hAnsi="Wingdings" w:cs="Wingdings" w:hint="default"/>
        <w:b w:val="0"/>
        <w:bCs w:val="0"/>
        <w:i w:val="0"/>
        <w:iCs w:val="0"/>
        <w:spacing w:val="0"/>
        <w:w w:val="100"/>
        <w:sz w:val="22"/>
        <w:szCs w:val="22"/>
        <w:lang w:val="ru-RU" w:eastAsia="en-US" w:bidi="ar-SA"/>
      </w:rPr>
    </w:lvl>
    <w:lvl w:ilvl="1">
      <w:numFmt w:val="bullet"/>
      <w:lvlText w:val="•"/>
      <w:lvlJc w:val="left"/>
      <w:pPr>
        <w:ind w:left="1792" w:hanging="850"/>
      </w:pPr>
      <w:rPr>
        <w:rFonts w:hint="default"/>
        <w:lang w:val="ru-RU" w:eastAsia="en-US" w:bidi="ar-SA"/>
      </w:rPr>
    </w:lvl>
    <w:lvl w:ilvl="2">
      <w:numFmt w:val="bullet"/>
      <w:lvlText w:val="•"/>
      <w:lvlJc w:val="left"/>
      <w:pPr>
        <w:ind w:left="2805" w:hanging="850"/>
      </w:pPr>
      <w:rPr>
        <w:rFonts w:hint="default"/>
        <w:lang w:val="ru-RU" w:eastAsia="en-US" w:bidi="ar-SA"/>
      </w:rPr>
    </w:lvl>
    <w:lvl w:ilvl="3">
      <w:numFmt w:val="bullet"/>
      <w:lvlText w:val="•"/>
      <w:lvlJc w:val="left"/>
      <w:pPr>
        <w:ind w:left="3817" w:hanging="850"/>
      </w:pPr>
      <w:rPr>
        <w:rFonts w:hint="default"/>
        <w:lang w:val="ru-RU" w:eastAsia="en-US" w:bidi="ar-SA"/>
      </w:rPr>
    </w:lvl>
    <w:lvl w:ilvl="4">
      <w:numFmt w:val="bullet"/>
      <w:lvlText w:val="•"/>
      <w:lvlJc w:val="left"/>
      <w:pPr>
        <w:ind w:left="4830" w:hanging="850"/>
      </w:pPr>
      <w:rPr>
        <w:rFonts w:hint="default"/>
        <w:lang w:val="ru-RU" w:eastAsia="en-US" w:bidi="ar-SA"/>
      </w:rPr>
    </w:lvl>
    <w:lvl w:ilvl="5">
      <w:numFmt w:val="bullet"/>
      <w:lvlText w:val="•"/>
      <w:lvlJc w:val="left"/>
      <w:pPr>
        <w:ind w:left="5843" w:hanging="850"/>
      </w:pPr>
      <w:rPr>
        <w:rFonts w:hint="default"/>
        <w:lang w:val="ru-RU" w:eastAsia="en-US" w:bidi="ar-SA"/>
      </w:rPr>
    </w:lvl>
    <w:lvl w:ilvl="6">
      <w:numFmt w:val="bullet"/>
      <w:lvlText w:val="•"/>
      <w:lvlJc w:val="left"/>
      <w:pPr>
        <w:ind w:left="6855" w:hanging="850"/>
      </w:pPr>
      <w:rPr>
        <w:rFonts w:hint="default"/>
        <w:lang w:val="ru-RU" w:eastAsia="en-US" w:bidi="ar-SA"/>
      </w:rPr>
    </w:lvl>
    <w:lvl w:ilvl="7">
      <w:numFmt w:val="bullet"/>
      <w:lvlText w:val="•"/>
      <w:lvlJc w:val="left"/>
      <w:pPr>
        <w:ind w:left="7868" w:hanging="850"/>
      </w:pPr>
      <w:rPr>
        <w:rFonts w:hint="default"/>
        <w:lang w:val="ru-RU" w:eastAsia="en-US" w:bidi="ar-SA"/>
      </w:rPr>
    </w:lvl>
    <w:lvl w:ilvl="8">
      <w:numFmt w:val="bullet"/>
      <w:lvlText w:val="•"/>
      <w:lvlJc w:val="left"/>
      <w:pPr>
        <w:ind w:left="8880" w:hanging="850"/>
      </w:pPr>
      <w:rPr>
        <w:rFonts w:hint="default"/>
        <w:lang w:val="ru-RU" w:eastAsia="en-US" w:bidi="ar-SA"/>
      </w:rPr>
    </w:lvl>
  </w:abstractNum>
  <w:abstractNum w:abstractNumId="1" w15:restartNumberingAfterBreak="0">
    <w:nsid w:val="08236268"/>
    <w:multiLevelType w:val="hybridMultilevel"/>
    <w:tmpl w:val="1D303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8D37A8"/>
    <w:multiLevelType w:val="hybridMultilevel"/>
    <w:tmpl w:val="BF9C44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C15536"/>
    <w:multiLevelType w:val="hybridMultilevel"/>
    <w:tmpl w:val="66B24560"/>
    <w:lvl w:ilvl="0" w:tplc="0419000B">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 w15:restartNumberingAfterBreak="0">
    <w:nsid w:val="7B3D38B5"/>
    <w:multiLevelType w:val="hybridMultilevel"/>
    <w:tmpl w:val="87FAE3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6674169">
    <w:abstractNumId w:val="0"/>
  </w:num>
  <w:num w:numId="2" w16cid:durableId="1316766600">
    <w:abstractNumId w:val="3"/>
  </w:num>
  <w:num w:numId="3" w16cid:durableId="1453208348">
    <w:abstractNumId w:val="2"/>
  </w:num>
  <w:num w:numId="4" w16cid:durableId="436103662">
    <w:abstractNumId w:val="4"/>
  </w:num>
  <w:num w:numId="5" w16cid:durableId="46716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440A7"/>
    <w:rsid w:val="000A040D"/>
    <w:rsid w:val="000D12E4"/>
    <w:rsid w:val="00277696"/>
    <w:rsid w:val="0036603D"/>
    <w:rsid w:val="004F5616"/>
    <w:rsid w:val="005E1EAC"/>
    <w:rsid w:val="006440A7"/>
    <w:rsid w:val="00893646"/>
    <w:rsid w:val="008D7295"/>
    <w:rsid w:val="008F0C09"/>
    <w:rsid w:val="00AE1D39"/>
    <w:rsid w:val="00C00796"/>
    <w:rsid w:val="00CF6A3B"/>
    <w:rsid w:val="00D16552"/>
    <w:rsid w:val="00DA5973"/>
    <w:rsid w:val="2C597A93"/>
    <w:rsid w:val="6A425E20"/>
    <w:rsid w:val="6C9E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4868A4"/>
  <w15:docId w15:val="{E2517766-92F8-5C46-AB5B-70B19A2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AE1D39"/>
    <w:pPr>
      <w:widowControl w:val="0"/>
      <w:autoSpaceDE w:val="0"/>
      <w:autoSpaceDN w:val="0"/>
    </w:pPr>
    <w:rPr>
      <w:rFonts w:ascii="Georgia" w:eastAsia="Georgia" w:hAnsi="Georgia" w:cs="Georg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1D39"/>
    <w:rPr>
      <w:color w:val="0000FF"/>
      <w:u w:val="single"/>
    </w:rPr>
  </w:style>
  <w:style w:type="paragraph" w:styleId="a4">
    <w:name w:val="Body Text"/>
    <w:basedOn w:val="a"/>
    <w:uiPriority w:val="1"/>
    <w:qFormat/>
    <w:rsid w:val="00AE1D39"/>
  </w:style>
  <w:style w:type="table" w:customStyle="1" w:styleId="TableNormal">
    <w:name w:val="Table Normal"/>
    <w:uiPriority w:val="2"/>
    <w:semiHidden/>
    <w:unhideWhenUsed/>
    <w:qFormat/>
    <w:rsid w:val="00AE1D39"/>
    <w:tblPr>
      <w:tblCellMar>
        <w:top w:w="0" w:type="dxa"/>
        <w:left w:w="0" w:type="dxa"/>
        <w:bottom w:w="0" w:type="dxa"/>
        <w:right w:w="0" w:type="dxa"/>
      </w:tblCellMar>
    </w:tblPr>
  </w:style>
  <w:style w:type="paragraph" w:styleId="a5">
    <w:name w:val="List Paragraph"/>
    <w:basedOn w:val="a"/>
    <w:uiPriority w:val="1"/>
    <w:qFormat/>
    <w:rsid w:val="00AE1D39"/>
    <w:pPr>
      <w:ind w:left="1635" w:hanging="849"/>
    </w:pPr>
  </w:style>
  <w:style w:type="paragraph" w:customStyle="1" w:styleId="TableParagraph">
    <w:name w:val="Table Paragraph"/>
    <w:basedOn w:val="a"/>
    <w:uiPriority w:val="1"/>
    <w:qFormat/>
    <w:rsid w:val="00AE1D39"/>
    <w:pPr>
      <w:ind w:left="1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skarnauhova@sf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certainties@sfedu.ru" TargetMode="External"/><Relationship Id="rId5" Type="http://schemas.openxmlformats.org/officeDocument/2006/relationships/footnotes" Target="footnotes.xml"/><Relationship Id="rId10" Type="http://schemas.openxmlformats.org/officeDocument/2006/relationships/hyperlink" Target="https://forms.gle/oVN33XfyFTAXcY7k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411</Words>
  <Characters>3060</Characters>
  <Application>Microsoft Office Word</Application>
  <DocSecurity>0</DocSecurity>
  <Lines>53</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Амиран</dc:creator>
  <cp:lastModifiedBy>Microsoft Office User</cp:lastModifiedBy>
  <cp:revision>5</cp:revision>
  <dcterms:created xsi:type="dcterms:W3CDTF">2024-11-20T15:52:00Z</dcterms:created>
  <dcterms:modified xsi:type="dcterms:W3CDTF">2024-12-10T10:33:00Z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WPS Writer</vt:lpwstr>
  </property>
  <property fmtid="{D5CDD505-2E9C-101B-9397-08002B2CF9AE}" pid="4" name="LastSaved">
    <vt:filetime>2024-11-20T00:00:00Z</vt:filetime>
  </property>
  <property fmtid="{D5CDD505-2E9C-101B-9397-08002B2CF9AE}" pid="5" name="SourceModified">
    <vt:lpwstr>D:20241115153227+03'00'</vt:lpwstr>
  </property>
  <property fmtid="{D5CDD505-2E9C-101B-9397-08002B2CF9AE}" pid="6" name="KSOProductBuildVer">
    <vt:lpwstr>1049-12.2.0.18911</vt:lpwstr>
  </property>
  <property fmtid="{D5CDD505-2E9C-101B-9397-08002B2CF9AE}" pid="7" name="ICV">
    <vt:lpwstr>E11EBEFFF07C4B8D9DD7FC16450B5269_13</vt:lpwstr>
  </property>
</Properties>
</file>