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1F8C5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-367030</wp:posOffset>
            </wp:positionH>
            <wp:positionV relativeFrom="paragraph">
              <wp:posOffset>-52070</wp:posOffset>
            </wp:positionV>
            <wp:extent cx="1466850" cy="691515"/>
            <wp:effectExtent l="19050" t="0" r="0" b="0"/>
            <wp:wrapNone/>
            <wp:docPr id="5" name="Рисунок 2" descr="C:\Documents and Settings\Регионоведение\Рабочий стол\Нижегородский_государственный_университет_им._Н.И._Лобачевск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" descr="C:\Documents and Settings\Регионоведение\Рабочий стол\Нижегородский_государственный_университет_им._Н.И._Лобачевског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5847715</wp:posOffset>
            </wp:positionH>
            <wp:positionV relativeFrom="paragraph">
              <wp:posOffset>-123190</wp:posOffset>
            </wp:positionV>
            <wp:extent cx="1038225" cy="970280"/>
            <wp:effectExtent l="19050" t="0" r="9277" b="0"/>
            <wp:wrapNone/>
            <wp:docPr id="3" name="Рисунок 1" descr="C:\Documents and Settings\Регионоведение\Рабочий стол\unn_logo_ru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C:\Documents and Settings\Регионоведение\Рабочий стол\unn_logo_rus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473" cy="970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</w:rPr>
        <w:t>Нижегородский государственный университет им. Н.И. Лобачевского</w:t>
      </w:r>
    </w:p>
    <w:p w14:paraId="6416DB5D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Институт международных отношений и мировой истории</w:t>
      </w:r>
    </w:p>
    <w:p w14:paraId="348397D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Кафедра зарубежного регионоведения и локальной истории</w:t>
      </w:r>
    </w:p>
    <w:p w14:paraId="41F12184">
      <w:pPr>
        <w:rPr>
          <w:rFonts w:ascii="Times New Roman" w:hAnsi="Times New Roman"/>
          <w:b/>
          <w:sz w:val="32"/>
          <w:szCs w:val="32"/>
        </w:rPr>
      </w:pPr>
    </w:p>
    <w:p w14:paraId="7A36660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Уважаемые коллеги!</w:t>
      </w:r>
    </w:p>
    <w:p w14:paraId="3C225AFE">
      <w:pPr>
        <w:tabs>
          <w:tab w:val="left" w:pos="3015"/>
          <w:tab w:val="center" w:pos="5031"/>
        </w:tabs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>19</w:t>
      </w:r>
      <w:r>
        <w:rPr>
          <w:rFonts w:ascii="Times New Roman" w:hAnsi="Times New Roman"/>
          <w:b/>
          <w:sz w:val="28"/>
          <w:szCs w:val="28"/>
          <w:u w:val="single"/>
        </w:rPr>
        <w:t>-2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ноября 202</w:t>
      </w:r>
      <w:r>
        <w:rPr>
          <w:rFonts w:hint="default" w:ascii="Times New Roman" w:hAnsi="Times New Roman"/>
          <w:b/>
          <w:sz w:val="28"/>
          <w:szCs w:val="28"/>
          <w:u w:val="single"/>
          <w:lang w:val="ru-RU"/>
        </w:rPr>
        <w:t>6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г.</w:t>
      </w:r>
    </w:p>
    <w:p w14:paraId="5D7DDC15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проводится Всероссийская (с международным участием) </w:t>
      </w:r>
    </w:p>
    <w:p w14:paraId="73432D73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научно-практическая конференция</w:t>
      </w:r>
    </w:p>
    <w:p w14:paraId="53FDA751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40"/>
        </w:rPr>
      </w:pPr>
      <w:r>
        <w:rPr>
          <w:rFonts w:ascii="Times New Roman" w:hAnsi="Times New Roman"/>
          <w:b/>
          <w:sz w:val="32"/>
          <w:szCs w:val="40"/>
        </w:rPr>
        <w:t>«Регионы мира: проблемы истории, культуры и политики»</w:t>
      </w:r>
    </w:p>
    <w:p w14:paraId="39C9ABC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24E73AD2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участию в работе конференции приглашаются научные и практические работники, преподаватели, аспиранты, студенты. </w:t>
      </w:r>
    </w:p>
    <w:p w14:paraId="72F1E20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итогам работы конференции планируется выпуск сборника статей «Регионы мира: проблемы истории, культуры и политики», индексируемого в РИНЦ. Авторы лучших студенческих докладов на соответствующих секциях также будут приглашены к публикации. </w:t>
      </w:r>
    </w:p>
    <w:p w14:paraId="0325808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Правила оформления статей будут разосланы авторам докладов во втором информационном письме после проведения конференции. </w:t>
      </w:r>
    </w:p>
    <w:p w14:paraId="119A63AC">
      <w:pPr>
        <w:spacing w:after="0" w:line="360" w:lineRule="auto"/>
        <w:ind w:firstLine="708"/>
        <w:jc w:val="both"/>
        <w:rPr>
          <w:rFonts w:ascii="Times New Roman" w:hAnsi="Times New Roman"/>
          <w:sz w:val="24"/>
        </w:rPr>
      </w:pPr>
    </w:p>
    <w:p w14:paraId="04E67834">
      <w:pPr>
        <w:spacing w:after="0"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ходе конференции </w:t>
      </w:r>
      <w:r>
        <w:rPr>
          <w:rFonts w:hint="default" w:ascii="Times New Roman" w:hAnsi="Times New Roman"/>
          <w:sz w:val="24"/>
          <w:lang w:val="ru-RU"/>
        </w:rPr>
        <w:t>19</w:t>
      </w:r>
      <w:r>
        <w:rPr>
          <w:rFonts w:ascii="Times New Roman" w:hAnsi="Times New Roman"/>
          <w:sz w:val="24"/>
        </w:rPr>
        <w:t xml:space="preserve"> ноября в Фундаментальной библиотеке ННГУ (Нижний Новгород, проспект Гагарина, д. 23, корп. 1а) планируется обсудить следующие проблемы:</w:t>
      </w:r>
    </w:p>
    <w:p w14:paraId="164FD5F4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Динамика современных евразийских процессов.</w:t>
      </w:r>
    </w:p>
    <w:p w14:paraId="0D499887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Регион Поволжья в историческом процессе.</w:t>
      </w:r>
    </w:p>
    <w:p w14:paraId="2CC4FE39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Современные политические, социально-экономические и этнокультурные процессы в зарубежных регионах.</w:t>
      </w:r>
    </w:p>
    <w:p w14:paraId="44E4C349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Европейский Союз, Евразийский экономический союз, НАТО, ШОС, БРИКС в межрегиональных отношениях.</w:t>
      </w:r>
    </w:p>
    <w:p w14:paraId="4C993E48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Региональные и национальные системы безопасности в условиях международной турбулентности.</w:t>
      </w:r>
    </w:p>
    <w:p w14:paraId="2F4D4D5A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Актуальные вопросы арменоведения. </w:t>
      </w:r>
    </w:p>
    <w:p w14:paraId="0C1A4D68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Диаспоры в региональном пространстве России и зарубежных государств</w:t>
      </w:r>
    </w:p>
    <w:p w14:paraId="217EA3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ACDC64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Студенты бакалавриата и магистратуры приглашаются к участию в работе тематических круглых столов 2</w:t>
      </w:r>
      <w:r>
        <w:rPr>
          <w:rFonts w:hint="default" w:ascii="Times New Roman" w:hAnsi="Times New Roman"/>
          <w:sz w:val="24"/>
          <w:lang w:val="ru-RU"/>
        </w:rPr>
        <w:t>0</w:t>
      </w:r>
      <w:r>
        <w:rPr>
          <w:rFonts w:ascii="Times New Roman" w:hAnsi="Times New Roman"/>
          <w:sz w:val="24"/>
        </w:rPr>
        <w:t xml:space="preserve"> ноября (Нижний Новгород, ул. Ульянова, д. 2, ИМОМИ ННГУ):</w:t>
      </w:r>
    </w:p>
    <w:p w14:paraId="0B8C3B2A">
      <w:pPr>
        <w:spacing w:after="0" w:line="240" w:lineRule="auto"/>
        <w:rPr>
          <w:rFonts w:ascii="Times New Roman" w:hAnsi="Times New Roman"/>
          <w:sz w:val="24"/>
        </w:rPr>
      </w:pPr>
    </w:p>
    <w:p w14:paraId="4CC6E53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hd w:val="clear" w:color="auto" w:fill="FFFFFF"/>
        </w:rPr>
        <w:t>Круглый стол «Актуальные проблемы евроатлантических исследований»</w:t>
      </w:r>
    </w:p>
    <w:p w14:paraId="6A091B1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hd w:val="clear" w:color="auto" w:fill="FFFFFF"/>
        </w:rPr>
      </w:pPr>
    </w:p>
    <w:p w14:paraId="660F08BE">
      <w:pPr>
        <w:pStyle w:val="11"/>
        <w:numPr>
          <w:ilvl w:val="0"/>
          <w:numId w:val="2"/>
        </w:numPr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Проблема лидерства в странах Европы и институтах ЕС. Феномен популизма в Европе и США. Эволюция, современное состояние, перспективы. </w:t>
      </w:r>
    </w:p>
    <w:p w14:paraId="4476831F">
      <w:pPr>
        <w:pStyle w:val="11"/>
        <w:numPr>
          <w:ilvl w:val="0"/>
          <w:numId w:val="2"/>
        </w:numPr>
        <w:spacing w:after="0" w:line="240" w:lineRule="auto"/>
        <w:ind w:left="851" w:firstLine="0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color w:val="000000"/>
          <w:sz w:val="24"/>
        </w:rPr>
        <w:t>олитические силы и идеологии в современной Европе и США. Особенности избирательных процессов в странах Европы.</w:t>
      </w:r>
    </w:p>
    <w:p w14:paraId="3B80054C">
      <w:pPr>
        <w:spacing w:after="0" w:line="240" w:lineRule="auto"/>
        <w:ind w:left="851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3. Проблемы обеспечения безопасности в Евроатлантическом регионе. </w:t>
      </w:r>
    </w:p>
    <w:p w14:paraId="009697B8">
      <w:pPr>
        <w:spacing w:after="0" w:line="240" w:lineRule="auto"/>
        <w:ind w:left="851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>4. Отношения США с ЕС</w:t>
      </w:r>
      <w:r>
        <w:rPr>
          <w:rFonts w:hint="default" w:ascii="Times New Roman" w:hAnsi="Times New Roman"/>
          <w:color w:val="000000"/>
          <w:sz w:val="24"/>
          <w:shd w:val="clear" w:color="auto" w:fill="FFFFFF"/>
          <w:lang w:val="ru-RU"/>
        </w:rPr>
        <w:t xml:space="preserve"> и</w:t>
      </w: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 отдельными европейскими государствами в период президентства Д. Трампа.</w:t>
      </w:r>
    </w:p>
    <w:p w14:paraId="670B2EE1">
      <w:pPr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>5. Региональные политические и экономические процессы в Северной и Южной Америке. </w:t>
      </w:r>
    </w:p>
    <w:p w14:paraId="5C9C8C28">
      <w:pPr>
        <w:spacing w:after="0" w:line="240" w:lineRule="auto"/>
        <w:ind w:left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color w:val="000000"/>
          <w:sz w:val="24"/>
        </w:rPr>
        <w:t>6. Энергетическая политика стран Европы и США. </w:t>
      </w:r>
    </w:p>
    <w:p w14:paraId="42DD7521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095F045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E34F89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Круглый стол «Востоковедение»</w:t>
      </w:r>
    </w:p>
    <w:p w14:paraId="79A4C60E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9843823">
      <w:pPr>
        <w:pStyle w:val="1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Проблемы урегулирования конфликта на территории Сирии: дипломатия, экономические инструменты, военная деятельность, контртерроризм.</w:t>
      </w:r>
    </w:p>
    <w:p w14:paraId="320C3A9F">
      <w:pPr>
        <w:pStyle w:val="1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Актуальные вопросы урегулирования палестино-израильского конфликта. </w:t>
      </w:r>
    </w:p>
    <w:p w14:paraId="2B2D7AE4">
      <w:pPr>
        <w:pStyle w:val="1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Внешняя политика арабских стран, Исламской Республики Иран, Государства Израиль, Турецкой Республики: концепции, идеи, дипломатические проекты. </w:t>
      </w:r>
    </w:p>
    <w:p w14:paraId="2E4A6C98">
      <w:pPr>
        <w:pStyle w:val="1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Этноконфессиональные и этнополитические процессы Ливана, Сирии, Иордании, Ирака, Египта (шииты, сунниты, марониты, армяне, друзы, курды и другие).</w:t>
      </w:r>
    </w:p>
    <w:p w14:paraId="0A2431AE">
      <w:pPr>
        <w:pStyle w:val="1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Идеи, концепции, доктрины, инициативы КНР и Республики Индия в области внешней политики и безопасности.</w:t>
      </w:r>
    </w:p>
    <w:p w14:paraId="70AA5505">
      <w:pPr>
        <w:pStyle w:val="1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направления и особенности внешней политики стран Юго-Восточной Азии и Азиатско-Тихоокеанского Региона. </w:t>
      </w:r>
    </w:p>
    <w:p w14:paraId="67009C89">
      <w:pPr>
        <w:pStyle w:val="1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Современный Афганистан: внутриполитические процессы, этноконфессиональная структура, деятельность внешних акторов в афганском урегулировании.  </w:t>
      </w:r>
    </w:p>
    <w:p w14:paraId="3B3CE6BA">
      <w:pPr>
        <w:spacing w:after="0" w:line="240" w:lineRule="auto"/>
        <w:ind w:left="851"/>
        <w:rPr>
          <w:rFonts w:ascii="Times New Roman" w:hAnsi="Times New Roman"/>
          <w:sz w:val="24"/>
        </w:rPr>
      </w:pPr>
    </w:p>
    <w:p w14:paraId="4E08C54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Круглый стол «Актуальные вопросы локальной истории и политики»</w:t>
      </w:r>
    </w:p>
    <w:p w14:paraId="0828FE3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6193347">
      <w:pPr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Российский политический процесс: региональное и этноконфессиональное измерение.</w:t>
      </w:r>
    </w:p>
    <w:p w14:paraId="3227D243">
      <w:pPr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Актуальные вопросы </w:t>
      </w:r>
      <w:r>
        <w:rPr>
          <w:rFonts w:ascii="Times New Roman" w:hAnsi="Times New Roman"/>
          <w:sz w:val="24"/>
          <w:lang w:val="ru-RU"/>
        </w:rPr>
        <w:t>социально</w:t>
      </w:r>
      <w:r>
        <w:rPr>
          <w:rFonts w:hint="default" w:ascii="Times New Roman" w:hAnsi="Times New Roman"/>
          <w:sz w:val="24"/>
          <w:lang w:val="ru-RU"/>
        </w:rPr>
        <w:t xml:space="preserve">-экономической, политической и </w:t>
      </w:r>
      <w:r>
        <w:rPr>
          <w:rFonts w:ascii="Times New Roman" w:hAnsi="Times New Roman"/>
          <w:sz w:val="24"/>
        </w:rPr>
        <w:t>этноконфессиональной истории Нижегородского края и сопредельных регионов.</w:t>
      </w:r>
    </w:p>
    <w:p w14:paraId="5B7067C7">
      <w:pPr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Региональные процессы в освещении СМИ.</w:t>
      </w:r>
    </w:p>
    <w:p w14:paraId="7DEC2702">
      <w:pPr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Формирование и развитие диаспор в Нижегородском крае и сопредельных регионах.</w:t>
      </w:r>
    </w:p>
    <w:p w14:paraId="63D7923D">
      <w:pPr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14:paraId="6128BD48">
      <w:pPr>
        <w:spacing w:after="0" w:line="240" w:lineRule="auto"/>
        <w:ind w:left="709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lang w:val="ru-RU"/>
        </w:rPr>
      </w:pPr>
      <w:r>
        <w:rPr>
          <w:rFonts w:ascii="Times New Roman" w:hAnsi="Times New Roman"/>
          <w:b/>
          <w:sz w:val="24"/>
        </w:rPr>
        <w:t>Круглый стол</w:t>
      </w:r>
      <w:r>
        <w:rPr>
          <w:rFonts w:hint="default" w:ascii="Times New Roman" w:hAnsi="Times New Roman"/>
          <w:b/>
          <w:sz w:val="24"/>
          <w:lang w:val="ru-RU"/>
        </w:rPr>
        <w:t xml:space="preserve"> «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Présidentielle 2027: le bilan d’Emmanuel Macron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lang w:val="ru-RU"/>
        </w:rPr>
        <w:t>»</w:t>
      </w:r>
    </w:p>
    <w:p w14:paraId="3262F853">
      <w:pPr>
        <w:spacing w:after="0" w:line="240" w:lineRule="auto"/>
        <w:ind w:left="709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lang w:val="ru-RU"/>
        </w:rPr>
        <w:t>(на французском языке)</w:t>
      </w:r>
      <w:bookmarkStart w:id="0" w:name="_GoBack"/>
      <w:bookmarkEnd w:id="0"/>
    </w:p>
    <w:p w14:paraId="4DFED50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20C6EC2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Заявки на участие в конференции принимаются до </w:t>
      </w:r>
      <w:r>
        <w:rPr>
          <w:rFonts w:hint="default" w:ascii="Times New Roman" w:hAnsi="Times New Roman"/>
          <w:b/>
          <w:bCs/>
          <w:sz w:val="24"/>
          <w:u w:val="single"/>
          <w:lang w:val="ru-RU"/>
        </w:rPr>
        <w:t>1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>ноября 202</w:t>
      </w:r>
      <w:r>
        <w:rPr>
          <w:rFonts w:hint="default" w:ascii="Times New Roman" w:hAnsi="Times New Roman"/>
          <w:b/>
          <w:sz w:val="24"/>
          <w:u w:val="single"/>
          <w:lang w:val="ru-RU"/>
        </w:rPr>
        <w:t>6</w:t>
      </w:r>
      <w:r>
        <w:rPr>
          <w:rFonts w:ascii="Times New Roman" w:hAnsi="Times New Roman"/>
          <w:b/>
          <w:sz w:val="24"/>
          <w:u w:val="single"/>
        </w:rPr>
        <w:t xml:space="preserve"> г.</w:t>
      </w:r>
      <w:r>
        <w:rPr>
          <w:rFonts w:ascii="Times New Roman" w:hAnsi="Times New Roman"/>
          <w:sz w:val="24"/>
        </w:rPr>
        <w:t xml:space="preserve"> согласно прилагаемой форме по адресу: </w:t>
      </w:r>
      <w:r>
        <w:fldChar w:fldCharType="begin"/>
      </w:r>
      <w:r>
        <w:instrText xml:space="preserve"> HYPERLINK "mailto:region@imomi.unn.ru" </w:instrText>
      </w:r>
      <w:r>
        <w:fldChar w:fldCharType="separate"/>
      </w:r>
      <w:r>
        <w:rPr>
          <w:rStyle w:val="6"/>
          <w:rFonts w:ascii="Times New Roman" w:hAnsi="Times New Roman"/>
          <w:sz w:val="24"/>
          <w:lang w:val="en-US"/>
        </w:rPr>
        <w:t>region</w:t>
      </w:r>
      <w:r>
        <w:rPr>
          <w:rStyle w:val="6"/>
          <w:rFonts w:ascii="Times New Roman" w:hAnsi="Times New Roman"/>
          <w:sz w:val="24"/>
        </w:rPr>
        <w:t>@</w:t>
      </w:r>
      <w:r>
        <w:rPr>
          <w:rStyle w:val="6"/>
          <w:rFonts w:ascii="Times New Roman" w:hAnsi="Times New Roman"/>
          <w:sz w:val="24"/>
          <w:lang w:val="en-US"/>
        </w:rPr>
        <w:t>imomi</w:t>
      </w:r>
      <w:r>
        <w:rPr>
          <w:rStyle w:val="6"/>
          <w:rFonts w:ascii="Times New Roman" w:hAnsi="Times New Roman"/>
          <w:sz w:val="24"/>
        </w:rPr>
        <w:t>.</w:t>
      </w:r>
      <w:r>
        <w:rPr>
          <w:rStyle w:val="6"/>
          <w:rFonts w:ascii="Times New Roman" w:hAnsi="Times New Roman"/>
          <w:sz w:val="24"/>
          <w:lang w:val="en-US"/>
        </w:rPr>
        <w:t>unn</w:t>
      </w:r>
      <w:r>
        <w:rPr>
          <w:rStyle w:val="6"/>
          <w:rFonts w:ascii="Times New Roman" w:hAnsi="Times New Roman"/>
          <w:sz w:val="24"/>
        </w:rPr>
        <w:t>.</w:t>
      </w:r>
      <w:r>
        <w:rPr>
          <w:rStyle w:val="6"/>
          <w:rFonts w:ascii="Times New Roman" w:hAnsi="Times New Roman"/>
          <w:sz w:val="24"/>
          <w:lang w:val="en-US"/>
        </w:rPr>
        <w:t>ru</w:t>
      </w:r>
      <w:r>
        <w:rPr>
          <w:rStyle w:val="6"/>
          <w:rFonts w:ascii="Times New Roman" w:hAnsi="Times New Roman"/>
          <w:sz w:val="24"/>
          <w:lang w:val="en-US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F2557DB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u w:val="single"/>
        </w:rPr>
      </w:pPr>
    </w:p>
    <w:p w14:paraId="7B0E846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конференции предполагается только </w:t>
      </w:r>
      <w:r>
        <w:rPr>
          <w:rFonts w:ascii="Times New Roman" w:hAnsi="Times New Roman"/>
          <w:b/>
          <w:sz w:val="24"/>
        </w:rPr>
        <w:t>очное</w:t>
      </w:r>
      <w:r>
        <w:rPr>
          <w:rFonts w:ascii="Times New Roman" w:hAnsi="Times New Roman"/>
          <w:sz w:val="24"/>
        </w:rPr>
        <w:t xml:space="preserve"> участие. Преподаватели и научные работники могут заявить не более двух докладов, один из которых – в соавторстве (в том числе и со студентами).</w:t>
      </w:r>
    </w:p>
    <w:p w14:paraId="08DA5635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4BD79C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Оргкомитет оставляет за собой право отбора и отклонения статей в случае их несоответствия заявленным требованиям и тематике конференции.</w:t>
      </w:r>
    </w:p>
    <w:p w14:paraId="3458B3BC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14:paraId="29366385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уважением,</w:t>
      </w:r>
    </w:p>
    <w:p w14:paraId="7D2B2D33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ОРГКОМИТЕТ</w:t>
      </w:r>
    </w:p>
    <w:p w14:paraId="6E72428E">
      <w:pPr>
        <w:autoSpaceDE/>
        <w:autoSpaceDN/>
        <w:adjustRightInd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32396D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Форма заявки на международную научно-практическую конференцию</w:t>
      </w:r>
    </w:p>
    <w:p w14:paraId="24F851A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«Регионы мира: проблемы истории, культуры и политики»</w:t>
      </w:r>
    </w:p>
    <w:p w14:paraId="7315222A">
      <w:pPr>
        <w:jc w:val="center"/>
        <w:rPr>
          <w:rFonts w:ascii="Times New Roman" w:hAnsi="Times New Roman"/>
          <w:b/>
          <w:sz w:val="24"/>
        </w:rPr>
      </w:pPr>
    </w:p>
    <w:p w14:paraId="043F0FA8">
      <w:pPr>
        <w:pStyle w:val="3"/>
        <w:jc w:val="left"/>
        <w:rPr>
          <w:rFonts w:ascii="Times New Roman" w:hAnsi="Times New Roman"/>
          <w:i/>
          <w:sz w:val="20"/>
          <w:szCs w:val="20"/>
        </w:rPr>
      </w:pPr>
    </w:p>
    <w:p w14:paraId="6313D392">
      <w:pPr>
        <w:pStyle w:val="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Заявка</w:t>
      </w:r>
    </w:p>
    <w:p w14:paraId="625C608E">
      <w:pPr>
        <w:rPr>
          <w:rFonts w:ascii="Times New Roman" w:hAnsi="Times New Roman"/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1"/>
        <w:gridCol w:w="7353"/>
      </w:tblGrid>
      <w:tr w14:paraId="20240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8F68F">
            <w:pPr>
              <w:pStyle w:val="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Фамилия, имя, отчество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919A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19AF9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C4A2B">
            <w:pPr>
              <w:pStyle w:val="2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Name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0A06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401CE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5248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989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4D2C9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AB75A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Organization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BF2A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14:paraId="65D95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8A43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Должность, ученая степень, ученое звание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9A8F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0227A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FDC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Job position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246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0194A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CEF0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Телефон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FEF4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14:paraId="0A4A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A65E9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E-mail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0095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14:paraId="60FC6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F2C7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Названиедоклада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308A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14:paraId="0979F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16830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Title 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8A0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14:paraId="55822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DB38B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Аннотация</w:t>
            </w:r>
            <w:r>
              <w:rPr>
                <w:rFonts w:ascii="Times New Roman" w:hAnsi="Times New Roman"/>
                <w:b/>
                <w:lang w:val="en-US"/>
              </w:rPr>
              <w:t xml:space="preserve"> (5-7 </w:t>
            </w:r>
            <w:r>
              <w:rPr>
                <w:rFonts w:ascii="Times New Roman" w:hAnsi="Times New Roman"/>
                <w:b/>
              </w:rPr>
              <w:t>предложений</w:t>
            </w:r>
            <w:r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54B2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14:paraId="4E1BD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4A941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Abstract (5-7 sentences)</w:t>
            </w:r>
          </w:p>
        </w:tc>
        <w:tc>
          <w:tcPr>
            <w:tcW w:w="7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F069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7DE9AFA5">
      <w:pPr>
        <w:jc w:val="center"/>
        <w:rPr>
          <w:rFonts w:ascii="Times New Roman" w:hAnsi="Times New Roman"/>
          <w:lang w:val="en-US"/>
        </w:rPr>
      </w:pPr>
    </w:p>
    <w:p w14:paraId="6A734D9E">
      <w:pPr>
        <w:rPr>
          <w:rFonts w:ascii="Times New Roman" w:hAnsi="Times New Roman"/>
          <w:lang w:val="en-US"/>
        </w:rPr>
      </w:pPr>
    </w:p>
    <w:p w14:paraId="268B72B5">
      <w:pPr>
        <w:rPr>
          <w:lang w:val="en-US"/>
        </w:rPr>
      </w:pPr>
    </w:p>
    <w:p w14:paraId="1CB89C20">
      <w:pPr>
        <w:rPr>
          <w:lang w:val="en-US"/>
        </w:rPr>
      </w:pPr>
    </w:p>
    <w:sectPr>
      <w:pgSz w:w="11906" w:h="16838"/>
      <w:pgMar w:top="720" w:right="720" w:bottom="720" w:left="720" w:header="708" w:footer="708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D81B92"/>
    <w:multiLevelType w:val="multilevel"/>
    <w:tmpl w:val="6AD81B9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C695059"/>
    <w:multiLevelType w:val="multilevel"/>
    <w:tmpl w:val="6C695059"/>
    <w:lvl w:ilvl="0" w:tentative="0">
      <w:start w:val="1"/>
      <w:numFmt w:val="decimal"/>
      <w:lvlText w:val="%1."/>
      <w:lvlJc w:val="left"/>
      <w:pPr>
        <w:ind w:left="1571" w:hanging="360"/>
      </w:pPr>
    </w:lvl>
    <w:lvl w:ilvl="1" w:tentative="0">
      <w:start w:val="1"/>
      <w:numFmt w:val="lowerLetter"/>
      <w:lvlText w:val="%2."/>
      <w:lvlJc w:val="left"/>
      <w:pPr>
        <w:ind w:left="2291" w:hanging="360"/>
      </w:pPr>
    </w:lvl>
    <w:lvl w:ilvl="2" w:tentative="0">
      <w:start w:val="1"/>
      <w:numFmt w:val="lowerRoman"/>
      <w:lvlText w:val="%3."/>
      <w:lvlJc w:val="right"/>
      <w:pPr>
        <w:ind w:left="3011" w:hanging="180"/>
      </w:pPr>
    </w:lvl>
    <w:lvl w:ilvl="3" w:tentative="0">
      <w:start w:val="1"/>
      <w:numFmt w:val="decimal"/>
      <w:lvlText w:val="%4."/>
      <w:lvlJc w:val="left"/>
      <w:pPr>
        <w:ind w:left="3731" w:hanging="360"/>
      </w:pPr>
    </w:lvl>
    <w:lvl w:ilvl="4" w:tentative="0">
      <w:start w:val="1"/>
      <w:numFmt w:val="lowerLetter"/>
      <w:lvlText w:val="%5."/>
      <w:lvlJc w:val="left"/>
      <w:pPr>
        <w:ind w:left="4451" w:hanging="360"/>
      </w:pPr>
    </w:lvl>
    <w:lvl w:ilvl="5" w:tentative="0">
      <w:start w:val="1"/>
      <w:numFmt w:val="lowerRoman"/>
      <w:lvlText w:val="%6."/>
      <w:lvlJc w:val="right"/>
      <w:pPr>
        <w:ind w:left="5171" w:hanging="180"/>
      </w:pPr>
    </w:lvl>
    <w:lvl w:ilvl="6" w:tentative="0">
      <w:start w:val="1"/>
      <w:numFmt w:val="decimal"/>
      <w:lvlText w:val="%7."/>
      <w:lvlJc w:val="left"/>
      <w:pPr>
        <w:ind w:left="5891" w:hanging="360"/>
      </w:pPr>
    </w:lvl>
    <w:lvl w:ilvl="7" w:tentative="0">
      <w:start w:val="1"/>
      <w:numFmt w:val="lowerLetter"/>
      <w:lvlText w:val="%8."/>
      <w:lvlJc w:val="left"/>
      <w:pPr>
        <w:ind w:left="6611" w:hanging="360"/>
      </w:pPr>
    </w:lvl>
    <w:lvl w:ilvl="8" w:tentative="0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7C675AAF"/>
    <w:multiLevelType w:val="multilevel"/>
    <w:tmpl w:val="7C675AAF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E70D00"/>
    <w:rsid w:val="0000546F"/>
    <w:rsid w:val="00015936"/>
    <w:rsid w:val="00032A18"/>
    <w:rsid w:val="000A049D"/>
    <w:rsid w:val="000A0F9F"/>
    <w:rsid w:val="000A1790"/>
    <w:rsid w:val="000B1958"/>
    <w:rsid w:val="000D1AB1"/>
    <w:rsid w:val="000F5499"/>
    <w:rsid w:val="0010216B"/>
    <w:rsid w:val="00180F96"/>
    <w:rsid w:val="001B3F80"/>
    <w:rsid w:val="00203D7F"/>
    <w:rsid w:val="00204BE3"/>
    <w:rsid w:val="0025059A"/>
    <w:rsid w:val="0025505B"/>
    <w:rsid w:val="00260FFD"/>
    <w:rsid w:val="002842C2"/>
    <w:rsid w:val="00291715"/>
    <w:rsid w:val="002B374B"/>
    <w:rsid w:val="002B737C"/>
    <w:rsid w:val="0032101A"/>
    <w:rsid w:val="00323FE5"/>
    <w:rsid w:val="00354434"/>
    <w:rsid w:val="00380A97"/>
    <w:rsid w:val="00395D4F"/>
    <w:rsid w:val="003A3003"/>
    <w:rsid w:val="003A6EBE"/>
    <w:rsid w:val="003C3EF2"/>
    <w:rsid w:val="00416402"/>
    <w:rsid w:val="00427CF3"/>
    <w:rsid w:val="00432C08"/>
    <w:rsid w:val="0043488A"/>
    <w:rsid w:val="004A0D2B"/>
    <w:rsid w:val="004B6F80"/>
    <w:rsid w:val="004C2036"/>
    <w:rsid w:val="004C310E"/>
    <w:rsid w:val="004C6392"/>
    <w:rsid w:val="004F65CD"/>
    <w:rsid w:val="005469B4"/>
    <w:rsid w:val="00565DF0"/>
    <w:rsid w:val="00571062"/>
    <w:rsid w:val="00584AE9"/>
    <w:rsid w:val="005A244F"/>
    <w:rsid w:val="005A4780"/>
    <w:rsid w:val="006454D4"/>
    <w:rsid w:val="00657D1F"/>
    <w:rsid w:val="00670E2F"/>
    <w:rsid w:val="0069376A"/>
    <w:rsid w:val="006A4214"/>
    <w:rsid w:val="006B5256"/>
    <w:rsid w:val="006E3F38"/>
    <w:rsid w:val="006E6EA2"/>
    <w:rsid w:val="00711F75"/>
    <w:rsid w:val="00743850"/>
    <w:rsid w:val="007526BE"/>
    <w:rsid w:val="00771AFE"/>
    <w:rsid w:val="00792A05"/>
    <w:rsid w:val="007B4C00"/>
    <w:rsid w:val="007D6C04"/>
    <w:rsid w:val="007F316E"/>
    <w:rsid w:val="00851677"/>
    <w:rsid w:val="0086600D"/>
    <w:rsid w:val="0093461F"/>
    <w:rsid w:val="009557DE"/>
    <w:rsid w:val="00982B50"/>
    <w:rsid w:val="009D3408"/>
    <w:rsid w:val="00A13B73"/>
    <w:rsid w:val="00AD6956"/>
    <w:rsid w:val="00B003C6"/>
    <w:rsid w:val="00B2068B"/>
    <w:rsid w:val="00B42308"/>
    <w:rsid w:val="00B46A56"/>
    <w:rsid w:val="00BE6C21"/>
    <w:rsid w:val="00C32114"/>
    <w:rsid w:val="00C86F6B"/>
    <w:rsid w:val="00D2120D"/>
    <w:rsid w:val="00D27758"/>
    <w:rsid w:val="00D6022F"/>
    <w:rsid w:val="00D77874"/>
    <w:rsid w:val="00D8735D"/>
    <w:rsid w:val="00DB5023"/>
    <w:rsid w:val="00DF7304"/>
    <w:rsid w:val="00E031CC"/>
    <w:rsid w:val="00E050CB"/>
    <w:rsid w:val="00E70D00"/>
    <w:rsid w:val="00E7368A"/>
    <w:rsid w:val="00E96503"/>
    <w:rsid w:val="00EA4E94"/>
    <w:rsid w:val="00EC2F85"/>
    <w:rsid w:val="00EF309B"/>
    <w:rsid w:val="00F02278"/>
    <w:rsid w:val="00F22173"/>
    <w:rsid w:val="00F235CD"/>
    <w:rsid w:val="00F442D1"/>
    <w:rsid w:val="00F96D38"/>
    <w:rsid w:val="00FA4EF7"/>
    <w:rsid w:val="00FD0EEE"/>
    <w:rsid w:val="00FF44CD"/>
    <w:rsid w:val="01DF30DF"/>
    <w:rsid w:val="09AA109A"/>
    <w:rsid w:val="49523317"/>
    <w:rsid w:val="4982220D"/>
    <w:rsid w:val="5D321BC1"/>
    <w:rsid w:val="651A03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autoSpaceDE w:val="0"/>
      <w:autoSpaceDN w:val="0"/>
      <w:adjustRightInd w:val="0"/>
      <w:spacing w:after="200" w:line="276" w:lineRule="auto"/>
    </w:pPr>
    <w:rPr>
      <w:rFonts w:ascii="Calibri" w:hAnsi="Calibri" w:eastAsia="Times New Roman" w:cs="Times New Roman"/>
      <w:sz w:val="22"/>
      <w:szCs w:val="24"/>
      <w:lang w:val="ru-RU" w:eastAsia="ru-RU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autoSpaceDE/>
      <w:autoSpaceDN/>
      <w:adjustRightInd/>
      <w:spacing w:after="0" w:line="240" w:lineRule="auto"/>
      <w:outlineLvl w:val="0"/>
    </w:pPr>
    <w:rPr>
      <w:rFonts w:ascii="Arial" w:hAnsi="Arial"/>
      <w:b/>
      <w:sz w:val="24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autoSpaceDE/>
      <w:autoSpaceDN/>
      <w:adjustRightInd/>
      <w:spacing w:after="0" w:line="240" w:lineRule="auto"/>
      <w:jc w:val="center"/>
      <w:outlineLvl w:val="1"/>
    </w:pPr>
    <w:rPr>
      <w:rFonts w:ascii="Arial" w:hAnsi="Arial"/>
      <w:b/>
      <w:sz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qFormat/>
    <w:uiPriority w:val="99"/>
    <w:rPr>
      <w:rFonts w:cs="Times New Roman"/>
      <w:color w:val="0000FF"/>
      <w:sz w:val="22"/>
      <w:u w:val="single"/>
    </w:rPr>
  </w:style>
  <w:style w:type="paragraph" w:styleId="7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8">
    <w:name w:val="Заголовок 1 Знак"/>
    <w:basedOn w:val="4"/>
    <w:link w:val="2"/>
    <w:qFormat/>
    <w:uiPriority w:val="0"/>
    <w:rPr>
      <w:rFonts w:ascii="Arial" w:hAnsi="Arial" w:eastAsia="Times New Roman" w:cs="Times New Roman"/>
      <w:b/>
      <w:sz w:val="24"/>
      <w:szCs w:val="24"/>
      <w:lang w:eastAsia="ru-RU"/>
    </w:rPr>
  </w:style>
  <w:style w:type="character" w:customStyle="1" w:styleId="9">
    <w:name w:val="Заголовок 2 Знак"/>
    <w:basedOn w:val="4"/>
    <w:link w:val="3"/>
    <w:semiHidden/>
    <w:qFormat/>
    <w:uiPriority w:val="0"/>
    <w:rPr>
      <w:rFonts w:ascii="Arial" w:hAnsi="Arial" w:eastAsia="Times New Roman" w:cs="Times New Roman"/>
      <w:b/>
      <w:sz w:val="28"/>
      <w:szCs w:val="24"/>
      <w:lang w:eastAsia="ru-RU"/>
    </w:rPr>
  </w:style>
  <w:style w:type="character" w:customStyle="1" w:styleId="10">
    <w:name w:val="Текст выноски Знак"/>
    <w:basedOn w:val="4"/>
    <w:link w:val="7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1">
    <w:name w:val="List Paragraph"/>
    <w:basedOn w:val="1"/>
    <w:qFormat/>
    <w:uiPriority w:val="34"/>
    <w:pPr>
      <w:autoSpaceDE/>
      <w:autoSpaceDN/>
      <w:adjustRightInd/>
      <w:ind w:left="720"/>
      <w:contextualSpacing/>
    </w:pPr>
    <w:rPr>
      <w:rFonts w:asciiTheme="minorHAnsi" w:hAnsiTheme="minorHAnsi" w:eastAsiaTheme="minorHAnsi" w:cstheme="minorBidi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503</Words>
  <Characters>3786</Characters>
  <Lines>30</Lines>
  <Paragraphs>8</Paragraphs>
  <TotalTime>3</TotalTime>
  <ScaleCrop>false</ScaleCrop>
  <LinksUpToDate>false</LinksUpToDate>
  <CharactersWithSpaces>4244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2025-08-29T18:11:00Z</dcterms:created>
  <dc:creator>Admin</dc:creator>
  <cp:lastModifiedBy>WPS_1780851191</cp:lastModifiedBy>
  <dcterms:modified xsi:type="dcterms:W3CDTF">2026-09-07T18:07:42Z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eyJoZGlkIjoiY2Q2MTc5NWUxMDcyZmEzMGZiMzk2MjA2ZDBlMDc1YjkiLCJ1c2VySWQiOiI4MjQ2MzU5MTM4NjMifQ==</vt:lpwstr>
  </property>
  <property fmtid="{D5CDD505-2E9C-101B-9397-08002B2CF9AE}" pid="4" name="ICV">
    <vt:lpwstr>06E33AF941534B3FBCB4D777F26548FC_12</vt:lpwstr>
  </property>
</Properties>
</file>